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8CF1" w14:textId="77777777" w:rsidR="00B06CDB" w:rsidRPr="00B06CDB" w:rsidRDefault="00B06CDB" w:rsidP="00B06CDB">
      <w:pPr>
        <w:jc w:val="center"/>
        <w:rPr>
          <w:b/>
          <w:sz w:val="28"/>
        </w:rPr>
      </w:pPr>
      <w:r w:rsidRPr="00B06CDB">
        <w:rPr>
          <w:b/>
          <w:sz w:val="28"/>
        </w:rPr>
        <w:t>COMPARATIVE STUDY WITH CARD MEDIA ON LEARNING OUTCOMES IN CHEMICAL BONDING MATERIALS</w:t>
      </w:r>
    </w:p>
    <w:p w14:paraId="73BD4063" w14:textId="23E0FAE6" w:rsidR="00DC4B87" w:rsidRDefault="00B06CDB" w:rsidP="00B06CDB">
      <w:pPr>
        <w:jc w:val="center"/>
        <w:rPr>
          <w:b/>
          <w:sz w:val="28"/>
        </w:rPr>
      </w:pPr>
      <w:r w:rsidRPr="00B06CDB">
        <w:rPr>
          <w:b/>
          <w:sz w:val="28"/>
        </w:rPr>
        <w:t>AT SMA NEGERI 1 PEUSANGAN</w:t>
      </w:r>
    </w:p>
    <w:p w14:paraId="09061204" w14:textId="77777777" w:rsidR="00B06CDB" w:rsidRDefault="00B06CDB" w:rsidP="00B06CDB">
      <w:pPr>
        <w:jc w:val="center"/>
        <w:rPr>
          <w:b/>
          <w:sz w:val="28"/>
          <w:szCs w:val="28"/>
        </w:rPr>
      </w:pPr>
    </w:p>
    <w:p w14:paraId="3E5C174B" w14:textId="22509F82" w:rsidR="00DC4B87" w:rsidRPr="00730021" w:rsidRDefault="00F4375F" w:rsidP="00DC4B87">
      <w:pPr>
        <w:widowControl w:val="0"/>
        <w:jc w:val="center"/>
        <w:rPr>
          <w:b/>
          <w:sz w:val="22"/>
          <w:szCs w:val="22"/>
          <w:lang w:val="en-US"/>
        </w:rPr>
      </w:pPr>
      <w:r>
        <w:rPr>
          <w:b/>
          <w:sz w:val="22"/>
          <w:szCs w:val="22"/>
          <w:lang w:val="en-US"/>
        </w:rPr>
        <w:t xml:space="preserve">Riska Imanda </w:t>
      </w:r>
      <w:r w:rsidR="00DC4B87">
        <w:rPr>
          <w:b/>
          <w:sz w:val="22"/>
          <w:szCs w:val="22"/>
          <w:lang w:val="en-US"/>
        </w:rPr>
        <w:t xml:space="preserve">1, </w:t>
      </w:r>
      <w:r>
        <w:rPr>
          <w:b/>
          <w:sz w:val="22"/>
          <w:szCs w:val="22"/>
          <w:lang w:val="en-US"/>
        </w:rPr>
        <w:t xml:space="preserve">Fakhrah </w:t>
      </w:r>
      <w:r w:rsidR="00DC4B87">
        <w:rPr>
          <w:b/>
          <w:sz w:val="22"/>
          <w:szCs w:val="22"/>
          <w:lang w:val="en-US"/>
        </w:rPr>
        <w:t xml:space="preserve"> 2, Cut Maria Ulfa 3</w:t>
      </w:r>
    </w:p>
    <w:p w14:paraId="6DF65F80" w14:textId="77777777" w:rsidR="00DC4B87" w:rsidRPr="00D61B3B" w:rsidRDefault="00DC4B87" w:rsidP="00DC4B87">
      <w:pPr>
        <w:widowControl w:val="0"/>
        <w:rPr>
          <w:sz w:val="20"/>
          <w:szCs w:val="20"/>
        </w:rPr>
      </w:pPr>
      <w:r w:rsidRPr="00D61B3B">
        <w:rPr>
          <w:sz w:val="20"/>
          <w:szCs w:val="20"/>
        </w:rPr>
        <w:t>Department of Chemistry Education, Malikussaleh University, Lhokseumawe, Aceh, Indonesia</w:t>
      </w:r>
    </w:p>
    <w:p w14:paraId="1FBAA7BD" w14:textId="77777777" w:rsidR="00DC4B87" w:rsidRDefault="00DC4B87" w:rsidP="00DC4B87">
      <w:pPr>
        <w:pBdr>
          <w:top w:val="nil"/>
          <w:left w:val="nil"/>
          <w:bottom w:val="nil"/>
          <w:right w:val="nil"/>
          <w:between w:val="nil"/>
        </w:pBdr>
        <w:spacing w:after="60"/>
        <w:jc w:val="center"/>
        <w:rPr>
          <w:b/>
          <w:color w:val="000000"/>
          <w:sz w:val="22"/>
          <w:szCs w:val="22"/>
        </w:rPr>
      </w:pPr>
    </w:p>
    <w:p w14:paraId="56C1C969" w14:textId="77777777" w:rsidR="00DC4B87" w:rsidRPr="00730021" w:rsidRDefault="00DC4B87" w:rsidP="00DC4B87">
      <w:pPr>
        <w:pBdr>
          <w:top w:val="nil"/>
          <w:left w:val="nil"/>
          <w:bottom w:val="nil"/>
          <w:right w:val="nil"/>
          <w:between w:val="nil"/>
        </w:pBdr>
        <w:jc w:val="center"/>
        <w:rPr>
          <w:color w:val="000000"/>
          <w:sz w:val="20"/>
          <w:szCs w:val="20"/>
        </w:rPr>
      </w:pPr>
      <w:r>
        <w:rPr>
          <w:color w:val="000000"/>
          <w:sz w:val="20"/>
          <w:szCs w:val="20"/>
        </w:rPr>
        <w:t>*Correspondinge-mail:</w:t>
      </w:r>
      <w:r>
        <w:rPr>
          <w:color w:val="000000"/>
          <w:sz w:val="20"/>
          <w:szCs w:val="20"/>
          <w:lang w:val="en-US"/>
        </w:rPr>
        <w:t xml:space="preserve"> </w:t>
      </w:r>
      <w:r>
        <w:rPr>
          <w:color w:val="0000FF"/>
          <w:sz w:val="20"/>
          <w:szCs w:val="20"/>
          <w:u w:val="single"/>
          <w:lang w:val="en-US"/>
        </w:rPr>
        <w:t>riska.imanda07@unimal.ac.id</w:t>
      </w:r>
    </w:p>
    <w:p w14:paraId="6358B37C" w14:textId="77777777" w:rsidR="00DC4B87" w:rsidRDefault="00DC4B87" w:rsidP="00DC4B87">
      <w:pPr>
        <w:pBdr>
          <w:top w:val="nil"/>
          <w:left w:val="nil"/>
          <w:bottom w:val="nil"/>
          <w:right w:val="nil"/>
          <w:between w:val="nil"/>
        </w:pBdr>
        <w:tabs>
          <w:tab w:val="left" w:pos="2552"/>
          <w:tab w:val="left" w:pos="5387"/>
        </w:tabs>
        <w:spacing w:after="60"/>
        <w:jc w:val="both"/>
        <w:rPr>
          <w:color w:val="000000"/>
          <w:sz w:val="20"/>
          <w:szCs w:val="20"/>
        </w:rPr>
      </w:pPr>
      <w:r>
        <w:rPr>
          <w:i/>
          <w:color w:val="000000"/>
          <w:sz w:val="20"/>
          <w:szCs w:val="20"/>
        </w:rPr>
        <w:t xml:space="preserve">Received: </w:t>
      </w:r>
      <w:r>
        <w:rPr>
          <w:color w:val="000000"/>
          <w:sz w:val="20"/>
          <w:szCs w:val="20"/>
        </w:rPr>
        <w:t>datemonth year</w:t>
      </w:r>
      <w:r>
        <w:rPr>
          <w:i/>
          <w:color w:val="000000"/>
          <w:sz w:val="20"/>
          <w:szCs w:val="20"/>
        </w:rPr>
        <w:tab/>
        <w:t xml:space="preserve">Accepted: </w:t>
      </w:r>
      <w:r>
        <w:rPr>
          <w:color w:val="000000"/>
          <w:sz w:val="20"/>
          <w:szCs w:val="20"/>
        </w:rPr>
        <w:t>datemonth year</w:t>
      </w:r>
      <w:r>
        <w:rPr>
          <w:i/>
          <w:color w:val="000000"/>
          <w:sz w:val="20"/>
          <w:szCs w:val="20"/>
        </w:rPr>
        <w:tab/>
        <w:t xml:space="preserve">Online Published: </w:t>
      </w:r>
      <w:r>
        <w:rPr>
          <w:color w:val="000000"/>
          <w:sz w:val="20"/>
          <w:szCs w:val="20"/>
        </w:rPr>
        <w:t>datemonth year</w:t>
      </w:r>
    </w:p>
    <w:p w14:paraId="5CA649E2" w14:textId="77777777" w:rsidR="00573699" w:rsidRDefault="00573699">
      <w:pPr>
        <w:pBdr>
          <w:top w:val="nil"/>
          <w:left w:val="nil"/>
          <w:bottom w:val="nil"/>
          <w:right w:val="nil"/>
          <w:between w:val="nil"/>
        </w:pBdr>
        <w:spacing w:after="60"/>
        <w:jc w:val="both"/>
        <w:rPr>
          <w:i/>
          <w:color w:val="000000"/>
          <w:sz w:val="22"/>
          <w:szCs w:val="22"/>
        </w:rPr>
      </w:pPr>
    </w:p>
    <w:p w14:paraId="1E497D83" w14:textId="77777777" w:rsidR="003276EC" w:rsidRDefault="003276EC" w:rsidP="003276EC">
      <w:pPr>
        <w:pBdr>
          <w:top w:val="single" w:sz="12" w:space="1" w:color="000000"/>
          <w:left w:val="nil"/>
          <w:bottom w:val="single" w:sz="12" w:space="1" w:color="000000"/>
          <w:right w:val="nil"/>
          <w:between w:val="nil"/>
        </w:pBdr>
        <w:jc w:val="both"/>
        <w:rPr>
          <w:color w:val="000000"/>
          <w:sz w:val="22"/>
          <w:szCs w:val="22"/>
        </w:rPr>
      </w:pPr>
      <w:r>
        <w:rPr>
          <w:b/>
          <w:color w:val="000000"/>
          <w:sz w:val="22"/>
          <w:szCs w:val="22"/>
        </w:rPr>
        <w:t xml:space="preserve">Abstract: </w:t>
      </w:r>
      <w:r w:rsidRPr="00B7794C">
        <w:rPr>
          <w:i/>
          <w:sz w:val="20"/>
          <w:szCs w:val="20"/>
        </w:rPr>
        <w:t>This study aims to see the comparison of learning outcomes between TGT type learning models with STAD type learning models with STAD type learning models equipped with question card media. Comparative causal research types with causal pattern design. The sampling technique in this study used purposive sampling. The sample in this study is class X IPA 1 as an experimental class 1 that applies the TGT learning model and X IPA 3 as an experimental class 2 that applies the STAD learning model, each class totaling 24 students. Based on the results of data analysis, the average value of cognitive learning outcomes in the pretest-posttest in experimental class 1 was 38,33 and 75,42, while the average value of cognitive learning outcomes in the pretest-posttest in experimental class 2 was 34,17 and 69,79. T-test was carried out using independent sample test assisted with SPSS 17.0 software and obtained a significant value (2-tailed) of 0,03 &lt; 0,05, it means that H</w:t>
      </w:r>
      <w:r w:rsidRPr="00B7794C">
        <w:rPr>
          <w:i/>
          <w:sz w:val="20"/>
          <w:szCs w:val="20"/>
          <w:vertAlign w:val="subscript"/>
        </w:rPr>
        <w:t>0</w:t>
      </w:r>
      <w:r w:rsidRPr="00B7794C">
        <w:rPr>
          <w:i/>
          <w:sz w:val="20"/>
          <w:szCs w:val="20"/>
        </w:rPr>
        <w:t xml:space="preserve"> is rejected and H</w:t>
      </w:r>
      <w:r w:rsidRPr="00B7794C">
        <w:rPr>
          <w:i/>
          <w:sz w:val="20"/>
          <w:szCs w:val="20"/>
          <w:vertAlign w:val="subscript"/>
        </w:rPr>
        <w:t>a</w:t>
      </w:r>
      <w:r w:rsidRPr="00B7794C">
        <w:rPr>
          <w:i/>
          <w:sz w:val="20"/>
          <w:szCs w:val="20"/>
        </w:rPr>
        <w:t xml:space="preserve"> is accepted. Based on the results of the study it can be concluded that there is a comparison of learning outcomes of students who use the TGT </w:t>
      </w:r>
      <w:r>
        <w:rPr>
          <w:i/>
          <w:sz w:val="20"/>
          <w:szCs w:val="20"/>
          <w:lang w:val="en-US"/>
        </w:rPr>
        <w:t>and STAD</w:t>
      </w:r>
      <w:r>
        <w:rPr>
          <w:i/>
          <w:sz w:val="20"/>
          <w:szCs w:val="20"/>
        </w:rPr>
        <w:t xml:space="preserve"> </w:t>
      </w:r>
      <w:r w:rsidRPr="00B7794C">
        <w:rPr>
          <w:i/>
          <w:sz w:val="20"/>
          <w:szCs w:val="20"/>
        </w:rPr>
        <w:t>learning model with a question card media on chemical bonding</w:t>
      </w:r>
      <w:r>
        <w:rPr>
          <w:i/>
          <w:sz w:val="20"/>
          <w:szCs w:val="20"/>
        </w:rPr>
        <w:t xml:space="preserve"> material. </w:t>
      </w:r>
      <w:r>
        <w:rPr>
          <w:color w:val="000000"/>
          <w:sz w:val="22"/>
          <w:szCs w:val="22"/>
        </w:rPr>
        <w:t xml:space="preserve"> </w:t>
      </w:r>
    </w:p>
    <w:p w14:paraId="0460D11A" w14:textId="77777777" w:rsidR="003276EC" w:rsidRDefault="003276EC" w:rsidP="003276EC">
      <w:pPr>
        <w:pBdr>
          <w:top w:val="single" w:sz="12" w:space="1" w:color="000000"/>
          <w:left w:val="nil"/>
          <w:bottom w:val="single" w:sz="12" w:space="1" w:color="000000"/>
          <w:right w:val="nil"/>
          <w:between w:val="nil"/>
        </w:pBdr>
        <w:jc w:val="both"/>
        <w:rPr>
          <w:color w:val="000000"/>
          <w:sz w:val="22"/>
          <w:szCs w:val="22"/>
        </w:rPr>
      </w:pPr>
    </w:p>
    <w:p w14:paraId="11428301" w14:textId="77777777" w:rsidR="003276EC" w:rsidRDefault="003276EC" w:rsidP="003276EC">
      <w:pPr>
        <w:pBdr>
          <w:top w:val="single" w:sz="12" w:space="1" w:color="000000"/>
          <w:left w:val="nil"/>
          <w:bottom w:val="single" w:sz="12" w:space="1" w:color="000000"/>
          <w:right w:val="nil"/>
          <w:between w:val="nil"/>
        </w:pBdr>
        <w:jc w:val="both"/>
        <w:rPr>
          <w:color w:val="000000"/>
          <w:sz w:val="22"/>
          <w:szCs w:val="22"/>
        </w:rPr>
      </w:pPr>
      <w:r>
        <w:rPr>
          <w:b/>
          <w:color w:val="000000"/>
          <w:sz w:val="22"/>
          <w:szCs w:val="22"/>
        </w:rPr>
        <w:t xml:space="preserve">Keywords: </w:t>
      </w:r>
      <w:r w:rsidRPr="00B7794C">
        <w:rPr>
          <w:i/>
          <w:sz w:val="20"/>
        </w:rPr>
        <w:t>Card words, Learning outcomes, Ikatan Kimia, STAD, TGT</w:t>
      </w:r>
      <w:r>
        <w:rPr>
          <w:i/>
          <w:sz w:val="20"/>
        </w:rPr>
        <w:t>.</w:t>
      </w:r>
    </w:p>
    <w:p w14:paraId="3FA86573" w14:textId="77777777" w:rsidR="003276EC" w:rsidRDefault="003276EC" w:rsidP="003276EC">
      <w:pPr>
        <w:pBdr>
          <w:top w:val="single" w:sz="12" w:space="1" w:color="000000"/>
          <w:left w:val="nil"/>
          <w:bottom w:val="single" w:sz="12" w:space="1" w:color="000000"/>
          <w:right w:val="nil"/>
          <w:between w:val="nil"/>
        </w:pBdr>
        <w:spacing w:after="60"/>
        <w:jc w:val="both"/>
        <w:rPr>
          <w:b/>
          <w:color w:val="000000"/>
          <w:sz w:val="22"/>
          <w:szCs w:val="22"/>
        </w:rPr>
      </w:pPr>
    </w:p>
    <w:p w14:paraId="3A48CD6F" w14:textId="77777777" w:rsidR="003276EC" w:rsidRPr="00C43EA7" w:rsidRDefault="003276EC" w:rsidP="003276EC">
      <w:pPr>
        <w:pBdr>
          <w:top w:val="single" w:sz="12" w:space="1" w:color="000000"/>
          <w:left w:val="nil"/>
          <w:bottom w:val="single" w:sz="12" w:space="1" w:color="000000"/>
          <w:right w:val="nil"/>
          <w:between w:val="nil"/>
        </w:pBdr>
        <w:spacing w:after="60"/>
        <w:jc w:val="both"/>
        <w:rPr>
          <w:bCs/>
          <w:i/>
          <w:color w:val="000000"/>
          <w:sz w:val="22"/>
          <w:szCs w:val="22"/>
        </w:rPr>
      </w:pPr>
      <w:r>
        <w:rPr>
          <w:b/>
          <w:i/>
          <w:color w:val="000000"/>
          <w:sz w:val="22"/>
          <w:szCs w:val="22"/>
        </w:rPr>
        <w:t xml:space="preserve">Abstrak: </w:t>
      </w:r>
      <w:r w:rsidRPr="00C43EA7">
        <w:rPr>
          <w:bCs/>
          <w:i/>
          <w:color w:val="000000"/>
          <w:sz w:val="22"/>
          <w:szCs w:val="22"/>
        </w:rPr>
        <w:t xml:space="preserve">Penelitian ini bertujuan untuk melihat perbandingan hasil belajar antara model pembelajaran tipe TGT dengan model pembelajaran tipe STAD yang dilengkapi media kartu soal. Jenis penelitian kausal komparatifdengan desain pola kausal. Teknik pengambilan sampel pada penelitian ini menggunakan  purposive sampling. Sampel dalam penelitian ini yaitu kelas X IPA 1 sebagai kelas eksperimen 1 yang menerapkan model pembelajaran TGT dan X IPA 3 sebagai kelas eksperimen (2) yang menerapkan model pembelajaran STAD  yang masing-masing kelas berjumlah 24 peserta didik. Berdasarkan hasil analisis data diperoleh nilai rata-rata hasil belajar kognitif pada pretest-posttest di kelas eksperimen 1 sebesar 38,33 dan 75,42 sedangkan nilai rata-rata hasil belajar kognitif pada pretest-posttest di kelas eskperimen 2 sebesar 34,17 dan 69,79. Uji t-test dilakukan dengan teknik independent sampel test berbantuan software SPSS 17.0 diperoleh nilai signifikan (2-tailed) adalah sebesar 0,03 &lt; 0,05,  artinya H0 ditolak dan Ha diterima. Berdasarkan hasil penelitian dapat disimpulkan bahwa terdapat perbandingan hasil belajar peserta didik yang menggunakan model pembelajaran TGT dan tipe STAD yang dilengkapi media kartu soal pada materi ikatan kimia. </w:t>
      </w:r>
    </w:p>
    <w:p w14:paraId="15FE014E" w14:textId="77777777" w:rsidR="003276EC" w:rsidRDefault="003276EC" w:rsidP="003276EC">
      <w:pPr>
        <w:pBdr>
          <w:top w:val="single" w:sz="12" w:space="1" w:color="000000"/>
          <w:left w:val="nil"/>
          <w:bottom w:val="single" w:sz="12" w:space="1" w:color="000000"/>
          <w:right w:val="nil"/>
          <w:between w:val="nil"/>
        </w:pBdr>
        <w:jc w:val="both"/>
        <w:rPr>
          <w:i/>
          <w:color w:val="000000"/>
          <w:sz w:val="22"/>
          <w:szCs w:val="22"/>
        </w:rPr>
      </w:pPr>
    </w:p>
    <w:p w14:paraId="10633FBD" w14:textId="28155F34" w:rsidR="003276EC" w:rsidRPr="003276EC" w:rsidRDefault="003276EC">
      <w:pPr>
        <w:pBdr>
          <w:top w:val="single" w:sz="12" w:space="1" w:color="000000"/>
          <w:left w:val="nil"/>
          <w:bottom w:val="single" w:sz="12" w:space="1" w:color="000000"/>
          <w:right w:val="nil"/>
          <w:between w:val="nil"/>
        </w:pBdr>
        <w:jc w:val="both"/>
        <w:rPr>
          <w:rFonts w:eastAsiaTheme="minorEastAsia"/>
          <w:sz w:val="20"/>
          <w:szCs w:val="20"/>
        </w:rPr>
      </w:pPr>
      <w:r>
        <w:rPr>
          <w:b/>
          <w:i/>
          <w:color w:val="000000"/>
          <w:sz w:val="22"/>
          <w:szCs w:val="22"/>
        </w:rPr>
        <w:t xml:space="preserve">Kata kunci: </w:t>
      </w:r>
      <w:r w:rsidRPr="00B7794C">
        <w:rPr>
          <w:rFonts w:eastAsiaTheme="minorEastAsia"/>
          <w:sz w:val="20"/>
          <w:szCs w:val="20"/>
        </w:rPr>
        <w:t>Hasil Belajar, Ikatan Kimia, Kartu Soal, STAD, TGT</w:t>
      </w:r>
      <w:r>
        <w:rPr>
          <w:rFonts w:eastAsiaTheme="minorEastAsia"/>
          <w:sz w:val="20"/>
          <w:szCs w:val="20"/>
        </w:rPr>
        <w:t>.</w:t>
      </w:r>
    </w:p>
    <w:p w14:paraId="38BAB297" w14:textId="77777777" w:rsidR="00573699" w:rsidRDefault="00573699">
      <w:pPr>
        <w:pBdr>
          <w:top w:val="nil"/>
          <w:left w:val="nil"/>
          <w:bottom w:val="nil"/>
          <w:right w:val="nil"/>
          <w:between w:val="nil"/>
        </w:pBdr>
        <w:rPr>
          <w:b/>
          <w:color w:val="000000"/>
          <w:sz w:val="22"/>
          <w:szCs w:val="22"/>
        </w:rPr>
      </w:pPr>
    </w:p>
    <w:p w14:paraId="6D620FB2" w14:textId="77777777" w:rsidR="00573699" w:rsidRDefault="00573699">
      <w:pPr>
        <w:pBdr>
          <w:top w:val="nil"/>
          <w:left w:val="nil"/>
          <w:bottom w:val="nil"/>
          <w:right w:val="nil"/>
          <w:between w:val="nil"/>
        </w:pBdr>
        <w:rPr>
          <w:b/>
          <w:color w:val="000000"/>
          <w:sz w:val="22"/>
          <w:szCs w:val="22"/>
        </w:rPr>
      </w:pPr>
    </w:p>
    <w:p w14:paraId="6600FE99" w14:textId="6126C00C" w:rsidR="00573699" w:rsidRDefault="00ED482A">
      <w:pPr>
        <w:pBdr>
          <w:top w:val="nil"/>
          <w:left w:val="nil"/>
          <w:bottom w:val="nil"/>
          <w:right w:val="nil"/>
          <w:between w:val="nil"/>
        </w:pBdr>
        <w:rPr>
          <w:color w:val="000000"/>
          <w:sz w:val="20"/>
          <w:szCs w:val="20"/>
        </w:rPr>
      </w:pPr>
      <w:r>
        <w:rPr>
          <w:b/>
          <w:i/>
          <w:color w:val="000000"/>
          <w:sz w:val="22"/>
          <w:szCs w:val="22"/>
        </w:rPr>
        <w:t>Untuk mengutip artikel ini:</w:t>
      </w:r>
      <w:r w:rsidR="003276EC" w:rsidRPr="003276EC">
        <w:rPr>
          <w:color w:val="000000"/>
          <w:sz w:val="20"/>
          <w:szCs w:val="20"/>
        </w:rPr>
        <w:t xml:space="preserve"> </w:t>
      </w:r>
      <w:r w:rsidR="003276EC">
        <w:rPr>
          <w:color w:val="000000"/>
          <w:sz w:val="20"/>
          <w:szCs w:val="20"/>
        </w:rPr>
        <w:t xml:space="preserve">Penulis. (2021). </w:t>
      </w:r>
      <w:r w:rsidR="003276EC" w:rsidRPr="00860F41">
        <w:rPr>
          <w:color w:val="000000"/>
          <w:sz w:val="20"/>
          <w:szCs w:val="20"/>
        </w:rPr>
        <w:t>Studi  Komparasi  Dilengkapi Media Kartu Terhadap Hasil Belajar Pada Materi Ikatan Kimia</w:t>
      </w:r>
      <w:r w:rsidR="003276EC">
        <w:rPr>
          <w:color w:val="000000"/>
          <w:sz w:val="20"/>
          <w:szCs w:val="20"/>
        </w:rPr>
        <w:t xml:space="preserve"> di SMA</w:t>
      </w:r>
      <w:r w:rsidR="003276EC" w:rsidRPr="00860F41">
        <w:rPr>
          <w:color w:val="000000"/>
          <w:sz w:val="20"/>
          <w:szCs w:val="20"/>
        </w:rPr>
        <w:t xml:space="preserve"> Negeri 1 Peusangan</w:t>
      </w:r>
      <w:r w:rsidR="003276EC">
        <w:rPr>
          <w:color w:val="000000"/>
          <w:sz w:val="20"/>
          <w:szCs w:val="20"/>
        </w:rPr>
        <w:t>. Jurnal Pendidikan dan Pembelajaran Kimia, Vol(No), Page-Page.</w:t>
      </w:r>
    </w:p>
    <w:p w14:paraId="26A267B3" w14:textId="3F71019D" w:rsidR="00E11234" w:rsidRDefault="00E11234">
      <w:pPr>
        <w:pBdr>
          <w:top w:val="nil"/>
          <w:left w:val="nil"/>
          <w:bottom w:val="nil"/>
          <w:right w:val="nil"/>
          <w:between w:val="nil"/>
        </w:pBdr>
        <w:rPr>
          <w:color w:val="000000"/>
          <w:sz w:val="20"/>
          <w:szCs w:val="20"/>
        </w:rPr>
      </w:pPr>
    </w:p>
    <w:p w14:paraId="6D57B7BA" w14:textId="593056A6" w:rsidR="00E11234" w:rsidRDefault="00E11234">
      <w:pPr>
        <w:pBdr>
          <w:top w:val="nil"/>
          <w:left w:val="nil"/>
          <w:bottom w:val="nil"/>
          <w:right w:val="nil"/>
          <w:between w:val="nil"/>
        </w:pBdr>
        <w:rPr>
          <w:color w:val="000000"/>
          <w:sz w:val="20"/>
          <w:szCs w:val="20"/>
        </w:rPr>
      </w:pPr>
    </w:p>
    <w:p w14:paraId="2E7916B7" w14:textId="76694058" w:rsidR="00E11234" w:rsidRDefault="00E11234">
      <w:pPr>
        <w:pBdr>
          <w:top w:val="nil"/>
          <w:left w:val="nil"/>
          <w:bottom w:val="nil"/>
          <w:right w:val="nil"/>
          <w:between w:val="nil"/>
        </w:pBdr>
        <w:rPr>
          <w:color w:val="000000"/>
          <w:sz w:val="20"/>
          <w:szCs w:val="20"/>
        </w:rPr>
      </w:pPr>
    </w:p>
    <w:p w14:paraId="3ED67651" w14:textId="4485CF20" w:rsidR="00E11234" w:rsidRDefault="00E11234">
      <w:pPr>
        <w:pBdr>
          <w:top w:val="nil"/>
          <w:left w:val="nil"/>
          <w:bottom w:val="nil"/>
          <w:right w:val="nil"/>
          <w:between w:val="nil"/>
        </w:pBdr>
        <w:rPr>
          <w:color w:val="000000"/>
          <w:sz w:val="20"/>
          <w:szCs w:val="20"/>
        </w:rPr>
      </w:pPr>
    </w:p>
    <w:p w14:paraId="5C67E653" w14:textId="77777777" w:rsidR="00E11234" w:rsidRDefault="00E11234">
      <w:pPr>
        <w:pBdr>
          <w:top w:val="nil"/>
          <w:left w:val="nil"/>
          <w:bottom w:val="nil"/>
          <w:right w:val="nil"/>
          <w:between w:val="nil"/>
        </w:pBdr>
        <w:rPr>
          <w:b/>
          <w:i/>
          <w:color w:val="000000"/>
          <w:sz w:val="22"/>
          <w:szCs w:val="22"/>
        </w:rPr>
      </w:pPr>
    </w:p>
    <w:p w14:paraId="4F3412D1" w14:textId="77777777" w:rsidR="00573699" w:rsidRDefault="00573699">
      <w:pPr>
        <w:pBdr>
          <w:top w:val="nil"/>
          <w:left w:val="nil"/>
          <w:bottom w:val="nil"/>
          <w:right w:val="nil"/>
          <w:between w:val="nil"/>
        </w:pBdr>
        <w:rPr>
          <w:b/>
          <w:color w:val="000000"/>
          <w:sz w:val="22"/>
          <w:szCs w:val="22"/>
        </w:rPr>
      </w:pPr>
    </w:p>
    <w:p w14:paraId="003CC756" w14:textId="48739C0B" w:rsidR="008071CC" w:rsidRDefault="00ED482A" w:rsidP="00F00ACF">
      <w:pPr>
        <w:pBdr>
          <w:top w:val="nil"/>
          <w:left w:val="nil"/>
          <w:bottom w:val="nil"/>
          <w:right w:val="nil"/>
          <w:between w:val="nil"/>
        </w:pBdr>
        <w:spacing w:line="360" w:lineRule="auto"/>
        <w:rPr>
          <w:b/>
          <w:color w:val="000000"/>
        </w:rPr>
      </w:pPr>
      <w:r>
        <w:rPr>
          <w:b/>
          <w:color w:val="000000"/>
        </w:rPr>
        <w:lastRenderedPageBreak/>
        <w:t>INTRODUCTION</w:t>
      </w:r>
    </w:p>
    <w:p w14:paraId="704580F6" w14:textId="3D102E13" w:rsidR="008071CC" w:rsidRPr="008071CC" w:rsidRDefault="008071CC" w:rsidP="008071CC">
      <w:pPr>
        <w:pBdr>
          <w:top w:val="nil"/>
          <w:left w:val="nil"/>
          <w:bottom w:val="nil"/>
          <w:right w:val="nil"/>
          <w:between w:val="nil"/>
        </w:pBdr>
        <w:ind w:firstLine="720"/>
        <w:jc w:val="both"/>
        <w:rPr>
          <w:bCs/>
          <w:color w:val="000000"/>
        </w:rPr>
      </w:pPr>
      <w:r w:rsidRPr="008071CC">
        <w:rPr>
          <w:bCs/>
          <w:color w:val="000000"/>
        </w:rPr>
        <w:t xml:space="preserve">Students at the initial level of high school (SMA) are often overcome by the impression of the difficulty of chemistry lessons, thus affecting learning achievement. For some students, chemistry is a boring lesson because they study material that is considered abstract, namely atoms (small particles) that cannot be seen from chemical reactions that can only be seen from their symptoms so that students are not interested in studying chemistry further </w:t>
      </w:r>
      <w:r>
        <w:rPr>
          <w:bCs/>
          <w:color w:val="000000"/>
          <w:lang w:val="en-US"/>
        </w:rPr>
        <w:t>(</w:t>
      </w:r>
      <w:r w:rsidRPr="008071CC">
        <w:rPr>
          <w:bCs/>
          <w:color w:val="000000"/>
        </w:rPr>
        <w:t>Putri, 2018:74).</w:t>
      </w:r>
    </w:p>
    <w:p w14:paraId="59106E61" w14:textId="1636338E" w:rsidR="008071CC" w:rsidRPr="00F00ACF" w:rsidRDefault="008071CC" w:rsidP="00F00ACF">
      <w:pPr>
        <w:pBdr>
          <w:top w:val="nil"/>
          <w:left w:val="nil"/>
          <w:bottom w:val="nil"/>
          <w:right w:val="nil"/>
          <w:between w:val="nil"/>
        </w:pBdr>
        <w:ind w:firstLine="720"/>
        <w:jc w:val="both"/>
        <w:rPr>
          <w:bCs/>
          <w:color w:val="000000"/>
        </w:rPr>
      </w:pPr>
      <w:r w:rsidRPr="008071CC">
        <w:rPr>
          <w:bCs/>
          <w:color w:val="000000"/>
        </w:rPr>
        <w:t>Chemistry lessons become a complicated thing because of the wrong view of chemistry itself. Based on the results of interviews conducted by researchers on March 28, 2019, with teachers who teach the field of Chemistry in class X SMA Negeri 1 Peusangan, information was obtained that students are less able to convey the information obtained, students tend to be less able to listen to teacher explanations and answer teacher questions. and most students are less enthusiastic and less enthusiastic in participating in the learning process. Based on the problems above, it is necessary to improve in the form of learning that can attract the attention of students so that students will be more active in the learning process. Ahriani, F (2014:3) and Aka, K.A. (2015:5) states that one solution that can be used is to apply a cooperative learning model which is considered to be able to overcome various learning problems.</w:t>
      </w:r>
    </w:p>
    <w:p w14:paraId="054D64EF" w14:textId="536E45AB" w:rsidR="008071CC" w:rsidRPr="009339B1" w:rsidRDefault="008071CC" w:rsidP="009339B1">
      <w:pPr>
        <w:pBdr>
          <w:top w:val="nil"/>
          <w:left w:val="nil"/>
          <w:bottom w:val="nil"/>
          <w:right w:val="nil"/>
          <w:between w:val="nil"/>
        </w:pBdr>
        <w:ind w:firstLine="720"/>
        <w:jc w:val="both"/>
        <w:rPr>
          <w:bCs/>
          <w:color w:val="000000"/>
          <w:lang w:val="en-US"/>
        </w:rPr>
      </w:pPr>
      <w:r w:rsidRPr="008071CC">
        <w:rPr>
          <w:bCs/>
          <w:color w:val="000000"/>
        </w:rPr>
        <w:t>Learning models that are considered to be able to attract the attention of students so that they can improve cognitive learning outcomes and can improve students' skills are the Student Teams Achievement Divisions (STAD) and Teams Games Tournament (TGT) models. This is supported by research conducted by Lubis (2018: 33) which says that in cooperative learning the TGT and STAD types can lead to student motivation, especially for students with fewer ability levels to be involved in learning. Furthermore, research conducted by Ahriani (2014: 8)</w:t>
      </w:r>
      <w:r w:rsidR="00F00ACF">
        <w:rPr>
          <w:bCs/>
          <w:color w:val="000000"/>
          <w:lang w:val="en-US"/>
        </w:rPr>
        <w:t xml:space="preserve">; </w:t>
      </w:r>
      <w:r w:rsidR="00F00ACF">
        <w:t>Overton</w:t>
      </w:r>
      <w:r w:rsidR="00F00ACF">
        <w:rPr>
          <w:lang w:val="en-US"/>
        </w:rPr>
        <w:t xml:space="preserve"> &amp; </w:t>
      </w:r>
      <w:r w:rsidR="00F00ACF">
        <w:t>Randles</w:t>
      </w:r>
      <w:r w:rsidR="00F00ACF" w:rsidRPr="008071CC">
        <w:rPr>
          <w:bCs/>
          <w:color w:val="000000"/>
        </w:rPr>
        <w:t xml:space="preserve"> </w:t>
      </w:r>
      <w:r w:rsidR="00F00ACF">
        <w:rPr>
          <w:bCs/>
          <w:color w:val="000000"/>
          <w:lang w:val="en-US"/>
        </w:rPr>
        <w:t xml:space="preserve">(2015) </w:t>
      </w:r>
      <w:r w:rsidRPr="008071CC">
        <w:rPr>
          <w:bCs/>
          <w:color w:val="000000"/>
        </w:rPr>
        <w:t>shows that there is an effect of cooperative learning models of the TGT and STAD types on the chemistry learning outcomes of class X students of SMK Negeri 2 Bantaeng on the subject matter of chemical bonds. TGT and STAD learning is a question card media. This agrees with Astuti (2013: 87) who says the use of question card media can be called a game in a learning that will eliminate boredom and create a competitive atmosphere. In addition to involving elements of the game, the media of question cards also involves elements of education, because it contains information about the material to be taught.</w:t>
      </w:r>
      <w:r w:rsidR="00353DBE">
        <w:rPr>
          <w:bCs/>
          <w:color w:val="000000"/>
          <w:lang w:val="en-US"/>
        </w:rPr>
        <w:t xml:space="preserve"> </w:t>
      </w:r>
      <w:r w:rsidR="00353DBE" w:rsidRPr="00353DBE">
        <w:rPr>
          <w:bCs/>
          <w:color w:val="000000"/>
          <w:lang w:val="en-US"/>
        </w:rPr>
        <w:t>Furthermore, Hasibuan, et al (2019)</w:t>
      </w:r>
      <w:r w:rsidR="00F00ACF">
        <w:rPr>
          <w:bCs/>
          <w:color w:val="000000"/>
          <w:lang w:val="en-US"/>
        </w:rPr>
        <w:t xml:space="preserve">; </w:t>
      </w:r>
      <w:r w:rsidR="00F00ACF">
        <w:t>Qurniawati</w:t>
      </w:r>
      <w:r w:rsidR="00F00ACF">
        <w:rPr>
          <w:lang w:val="en-US"/>
        </w:rPr>
        <w:t xml:space="preserve"> </w:t>
      </w:r>
      <w:r w:rsidR="00F00ACF">
        <w:t>&amp; Saputro</w:t>
      </w:r>
      <w:r w:rsidR="00F00ACF">
        <w:rPr>
          <w:lang w:val="en-US"/>
        </w:rPr>
        <w:t xml:space="preserve"> (2013); dan </w:t>
      </w:r>
      <w:r w:rsidR="00F00ACF">
        <w:t>Günter</w:t>
      </w:r>
      <w:r w:rsidR="00F00ACF">
        <w:rPr>
          <w:lang w:val="en-US"/>
        </w:rPr>
        <w:t xml:space="preserve"> (2017)</w:t>
      </w:r>
      <w:r w:rsidR="00F00ACF" w:rsidRPr="00F4375F">
        <w:rPr>
          <w:rFonts w:eastAsiaTheme="minorEastAsia"/>
        </w:rPr>
        <w:t xml:space="preserve"> </w:t>
      </w:r>
      <w:r w:rsidR="00353DBE" w:rsidRPr="00353DBE">
        <w:rPr>
          <w:bCs/>
          <w:color w:val="000000"/>
          <w:lang w:val="en-US"/>
        </w:rPr>
        <w:t>The ability, interest, and creativity of student participation in receiving a lesson increased through the NHT type cooperative learning model equipped with card media which was proven by Ha accepted with the conclusion that there were differences in student learning outcomes and activities taught by the questions. the card-based learning model is compared with the student learning outcomes taught through the NHT-type cooperative learning model with card media.</w:t>
      </w:r>
    </w:p>
    <w:p w14:paraId="168F0A1F" w14:textId="015B3BBE" w:rsidR="00E11234" w:rsidRPr="008071CC" w:rsidRDefault="008071CC" w:rsidP="008071CC">
      <w:pPr>
        <w:pBdr>
          <w:top w:val="nil"/>
          <w:left w:val="nil"/>
          <w:bottom w:val="nil"/>
          <w:right w:val="nil"/>
          <w:between w:val="nil"/>
        </w:pBdr>
        <w:jc w:val="both"/>
        <w:rPr>
          <w:bCs/>
          <w:color w:val="000000"/>
        </w:rPr>
      </w:pPr>
      <w:r w:rsidRPr="008071CC">
        <w:rPr>
          <w:bCs/>
          <w:color w:val="000000"/>
        </w:rPr>
        <w:t>Based on the description above, the researcher intends to conduct a study with the title "Comparative Study Equipped with Media Cards on Learning Outcomes in Chemical Bonding Materials at SMA Negeri 1 Peusangan".</w:t>
      </w:r>
    </w:p>
    <w:p w14:paraId="6D80C38C" w14:textId="38649518" w:rsidR="0015669F" w:rsidRDefault="0015669F">
      <w:pPr>
        <w:pBdr>
          <w:top w:val="nil"/>
          <w:left w:val="nil"/>
          <w:bottom w:val="nil"/>
          <w:right w:val="nil"/>
          <w:between w:val="nil"/>
        </w:pBdr>
        <w:rPr>
          <w:b/>
          <w:color w:val="000000"/>
        </w:rPr>
      </w:pPr>
    </w:p>
    <w:p w14:paraId="05B890A4" w14:textId="14918BAB" w:rsidR="00F00ACF" w:rsidRDefault="00F00ACF">
      <w:pPr>
        <w:pBdr>
          <w:top w:val="nil"/>
          <w:left w:val="nil"/>
          <w:bottom w:val="nil"/>
          <w:right w:val="nil"/>
          <w:between w:val="nil"/>
        </w:pBdr>
        <w:rPr>
          <w:b/>
          <w:color w:val="000000"/>
        </w:rPr>
      </w:pPr>
    </w:p>
    <w:p w14:paraId="2EA7D96B" w14:textId="784C9D7B" w:rsidR="00F00ACF" w:rsidRDefault="00F00ACF">
      <w:pPr>
        <w:pBdr>
          <w:top w:val="nil"/>
          <w:left w:val="nil"/>
          <w:bottom w:val="nil"/>
          <w:right w:val="nil"/>
          <w:between w:val="nil"/>
        </w:pBdr>
        <w:rPr>
          <w:b/>
          <w:color w:val="000000"/>
        </w:rPr>
      </w:pPr>
    </w:p>
    <w:p w14:paraId="2E42800E" w14:textId="77777777" w:rsidR="00F00ACF" w:rsidRDefault="00F00ACF">
      <w:pPr>
        <w:pBdr>
          <w:top w:val="nil"/>
          <w:left w:val="nil"/>
          <w:bottom w:val="nil"/>
          <w:right w:val="nil"/>
          <w:between w:val="nil"/>
        </w:pBdr>
        <w:rPr>
          <w:b/>
          <w:color w:val="000000"/>
        </w:rPr>
      </w:pPr>
    </w:p>
    <w:p w14:paraId="06919A65" w14:textId="77777777" w:rsidR="0015669F" w:rsidRDefault="0015669F">
      <w:pPr>
        <w:pBdr>
          <w:top w:val="nil"/>
          <w:left w:val="nil"/>
          <w:bottom w:val="nil"/>
          <w:right w:val="nil"/>
          <w:between w:val="nil"/>
        </w:pBdr>
        <w:rPr>
          <w:b/>
          <w:color w:val="000000"/>
        </w:rPr>
      </w:pPr>
    </w:p>
    <w:p w14:paraId="21CCF8BF" w14:textId="5EC328D4" w:rsidR="0015669F" w:rsidRPr="004A28FA" w:rsidRDefault="00ED482A" w:rsidP="009B09AE">
      <w:pPr>
        <w:pBdr>
          <w:top w:val="nil"/>
          <w:left w:val="nil"/>
          <w:bottom w:val="nil"/>
          <w:right w:val="nil"/>
          <w:between w:val="nil"/>
        </w:pBdr>
        <w:spacing w:line="360" w:lineRule="auto"/>
        <w:rPr>
          <w:b/>
          <w:color w:val="000000"/>
        </w:rPr>
      </w:pPr>
      <w:r>
        <w:rPr>
          <w:b/>
          <w:color w:val="000000"/>
        </w:rPr>
        <w:lastRenderedPageBreak/>
        <w:t>METHOD</w:t>
      </w:r>
    </w:p>
    <w:p w14:paraId="236E96EA" w14:textId="77777777" w:rsidR="0035181F" w:rsidRPr="0035181F" w:rsidRDefault="0035181F" w:rsidP="0035181F">
      <w:pPr>
        <w:ind w:firstLine="567"/>
        <w:rPr>
          <w:color w:val="262626" w:themeColor="text1" w:themeTint="D9"/>
        </w:rPr>
      </w:pPr>
      <w:r w:rsidRPr="0035181F">
        <w:rPr>
          <w:color w:val="262626" w:themeColor="text1" w:themeTint="D9"/>
        </w:rPr>
        <w:t>Rangkuti (2014) and Sugyono (2010) state that the type of research used in this study is a causal-comparative type of research (ex post facto). The research approach used is quantitative.</w:t>
      </w:r>
    </w:p>
    <w:p w14:paraId="7BFC6DF7" w14:textId="71EB4965" w:rsidR="0035181F" w:rsidRDefault="0035181F" w:rsidP="0035181F">
      <w:pPr>
        <w:ind w:firstLine="567"/>
        <w:rPr>
          <w:color w:val="262626" w:themeColor="text1" w:themeTint="D9"/>
        </w:rPr>
      </w:pPr>
      <w:r w:rsidRPr="0035181F">
        <w:rPr>
          <w:color w:val="262626" w:themeColor="text1" w:themeTint="D9"/>
        </w:rPr>
        <w:t xml:space="preserve">This study uses a causal pattern research design. The research design is described in the following </w:t>
      </w:r>
      <w:r>
        <w:rPr>
          <w:color w:val="262626" w:themeColor="text1" w:themeTint="D9"/>
          <w:lang w:val="en-US"/>
        </w:rPr>
        <w:t>T</w:t>
      </w:r>
      <w:r w:rsidRPr="0035181F">
        <w:rPr>
          <w:color w:val="262626" w:themeColor="text1" w:themeTint="D9"/>
        </w:rPr>
        <w:t>able:</w:t>
      </w:r>
    </w:p>
    <w:p w14:paraId="62D79B53" w14:textId="4B2BEEED" w:rsidR="0015669F" w:rsidRPr="00811331" w:rsidRDefault="0015669F" w:rsidP="0035181F">
      <w:pPr>
        <w:ind w:firstLine="567"/>
        <w:rPr>
          <w:color w:val="262626" w:themeColor="text1" w:themeTint="D9"/>
          <w:lang w:val="en-US"/>
        </w:rPr>
      </w:pPr>
      <w:r>
        <w:rPr>
          <w:color w:val="262626" w:themeColor="text1" w:themeTint="D9"/>
        </w:rPr>
        <w:t xml:space="preserve">Tabel 1. </w:t>
      </w:r>
      <w:r w:rsidR="00811331">
        <w:rPr>
          <w:color w:val="262626" w:themeColor="text1" w:themeTint="D9"/>
          <w:lang w:val="en-US"/>
        </w:rPr>
        <w:t>Causal research design</w:t>
      </w:r>
    </w:p>
    <w:tbl>
      <w:tblPr>
        <w:tblW w:w="9207"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261"/>
        <w:gridCol w:w="1982"/>
        <w:gridCol w:w="1982"/>
        <w:gridCol w:w="1982"/>
      </w:tblGrid>
      <w:tr w:rsidR="0015669F" w:rsidRPr="00177D75" w14:paraId="53840718" w14:textId="77777777" w:rsidTr="00E07B47">
        <w:tc>
          <w:tcPr>
            <w:tcW w:w="3261" w:type="dxa"/>
            <w:shd w:val="clear" w:color="auto" w:fill="FFFFFF" w:themeFill="background1"/>
            <w:vAlign w:val="center"/>
          </w:tcPr>
          <w:p w14:paraId="046EA38F" w14:textId="648FBF27" w:rsidR="0015669F" w:rsidRPr="00811331" w:rsidRDefault="00811331" w:rsidP="008A07A3">
            <w:pPr>
              <w:jc w:val="center"/>
              <w:rPr>
                <w:color w:val="262626" w:themeColor="text1" w:themeTint="D9"/>
                <w:lang w:val="en-US"/>
              </w:rPr>
            </w:pPr>
            <w:r>
              <w:rPr>
                <w:color w:val="262626" w:themeColor="text1" w:themeTint="D9"/>
                <w:lang w:val="en-US"/>
              </w:rPr>
              <w:t>Group</w:t>
            </w:r>
          </w:p>
        </w:tc>
        <w:tc>
          <w:tcPr>
            <w:tcW w:w="1982" w:type="dxa"/>
            <w:shd w:val="clear" w:color="auto" w:fill="FFFFFF" w:themeFill="background1"/>
            <w:vAlign w:val="center"/>
          </w:tcPr>
          <w:p w14:paraId="238567B6" w14:textId="77777777" w:rsidR="0015669F" w:rsidRPr="003051EE" w:rsidRDefault="0015669F" w:rsidP="008A07A3">
            <w:pPr>
              <w:jc w:val="center"/>
              <w:rPr>
                <w:i/>
                <w:color w:val="262626" w:themeColor="text1" w:themeTint="D9"/>
              </w:rPr>
            </w:pPr>
            <w:r w:rsidRPr="003051EE">
              <w:rPr>
                <w:i/>
                <w:color w:val="262626" w:themeColor="text1" w:themeTint="D9"/>
              </w:rPr>
              <w:t>Pretest</w:t>
            </w:r>
          </w:p>
        </w:tc>
        <w:tc>
          <w:tcPr>
            <w:tcW w:w="1982" w:type="dxa"/>
            <w:shd w:val="clear" w:color="auto" w:fill="FFFFFF" w:themeFill="background1"/>
            <w:vAlign w:val="center"/>
          </w:tcPr>
          <w:p w14:paraId="4FE884E3" w14:textId="77777777" w:rsidR="0015669F" w:rsidRPr="003051EE" w:rsidRDefault="0015669F" w:rsidP="008A07A3">
            <w:pPr>
              <w:jc w:val="center"/>
              <w:rPr>
                <w:color w:val="262626" w:themeColor="text1" w:themeTint="D9"/>
              </w:rPr>
            </w:pPr>
            <w:r w:rsidRPr="003051EE">
              <w:rPr>
                <w:color w:val="262626" w:themeColor="text1" w:themeTint="D9"/>
              </w:rPr>
              <w:t>Treatment</w:t>
            </w:r>
          </w:p>
        </w:tc>
        <w:tc>
          <w:tcPr>
            <w:tcW w:w="1982" w:type="dxa"/>
            <w:shd w:val="clear" w:color="auto" w:fill="FFFFFF" w:themeFill="background1"/>
            <w:vAlign w:val="center"/>
          </w:tcPr>
          <w:p w14:paraId="263ED527" w14:textId="77777777" w:rsidR="0015669F" w:rsidRPr="003051EE" w:rsidRDefault="0015669F" w:rsidP="008A07A3">
            <w:pPr>
              <w:jc w:val="center"/>
              <w:rPr>
                <w:i/>
                <w:color w:val="262626" w:themeColor="text1" w:themeTint="D9"/>
              </w:rPr>
            </w:pPr>
            <w:r w:rsidRPr="003051EE">
              <w:rPr>
                <w:i/>
                <w:color w:val="262626" w:themeColor="text1" w:themeTint="D9"/>
              </w:rPr>
              <w:t>Posttest</w:t>
            </w:r>
          </w:p>
        </w:tc>
      </w:tr>
      <w:tr w:rsidR="0015669F" w:rsidRPr="00177D75" w14:paraId="226F77BC" w14:textId="77777777" w:rsidTr="00E07B47">
        <w:tc>
          <w:tcPr>
            <w:tcW w:w="3261" w:type="dxa"/>
            <w:shd w:val="clear" w:color="auto" w:fill="FFFFFF" w:themeFill="background1"/>
            <w:vAlign w:val="center"/>
          </w:tcPr>
          <w:p w14:paraId="0B10F9F7" w14:textId="7E73ED3E" w:rsidR="0015669F" w:rsidRPr="00177D75" w:rsidRDefault="0015669F" w:rsidP="008A07A3">
            <w:pPr>
              <w:jc w:val="center"/>
              <w:rPr>
                <w:color w:val="262626" w:themeColor="text1" w:themeTint="D9"/>
              </w:rPr>
            </w:pPr>
            <w:r w:rsidRPr="00177D75">
              <w:rPr>
                <w:color w:val="262626" w:themeColor="text1" w:themeTint="D9"/>
              </w:rPr>
              <w:t>E</w:t>
            </w:r>
            <w:r w:rsidR="00811331">
              <w:rPr>
                <w:color w:val="262626" w:themeColor="text1" w:themeTint="D9"/>
                <w:lang w:val="en-US"/>
              </w:rPr>
              <w:t>x</w:t>
            </w:r>
            <w:r w:rsidRPr="00177D75">
              <w:rPr>
                <w:color w:val="262626" w:themeColor="text1" w:themeTint="D9"/>
              </w:rPr>
              <w:t>sperimen</w:t>
            </w:r>
            <w:r w:rsidR="00811331">
              <w:rPr>
                <w:color w:val="262626" w:themeColor="text1" w:themeTint="D9"/>
                <w:lang w:val="en-US"/>
              </w:rPr>
              <w:t>t</w:t>
            </w:r>
            <w:r w:rsidR="00E07B47">
              <w:rPr>
                <w:color w:val="262626" w:themeColor="text1" w:themeTint="D9"/>
                <w:lang w:val="en-US"/>
              </w:rPr>
              <w:t xml:space="preserve">al </w:t>
            </w:r>
            <w:r w:rsidR="00811331">
              <w:rPr>
                <w:color w:val="262626" w:themeColor="text1" w:themeTint="D9"/>
                <w:lang w:val="en-US"/>
              </w:rPr>
              <w:t xml:space="preserve"> group</w:t>
            </w:r>
            <w:r w:rsidRPr="00177D75">
              <w:rPr>
                <w:color w:val="262626" w:themeColor="text1" w:themeTint="D9"/>
              </w:rPr>
              <w:t xml:space="preserve"> 1</w:t>
            </w:r>
          </w:p>
        </w:tc>
        <w:tc>
          <w:tcPr>
            <w:tcW w:w="1982" w:type="dxa"/>
            <w:shd w:val="clear" w:color="auto" w:fill="FFFFFF" w:themeFill="background1"/>
            <w:vAlign w:val="center"/>
          </w:tcPr>
          <w:p w14:paraId="25522ED5" w14:textId="77777777" w:rsidR="0015669F" w:rsidRPr="00177D75" w:rsidRDefault="0015669F" w:rsidP="008A07A3">
            <w:pPr>
              <w:jc w:val="center"/>
              <w:rPr>
                <w:color w:val="262626" w:themeColor="text1" w:themeTint="D9"/>
              </w:rPr>
            </w:pPr>
            <w:r w:rsidRPr="00177D75">
              <w:rPr>
                <w:color w:val="262626" w:themeColor="text1" w:themeTint="D9"/>
              </w:rPr>
              <w:t>O</w:t>
            </w:r>
            <w:r w:rsidRPr="00177D75">
              <w:rPr>
                <w:color w:val="262626" w:themeColor="text1" w:themeTint="D9"/>
                <w:vertAlign w:val="subscript"/>
              </w:rPr>
              <w:t>1</w:t>
            </w:r>
          </w:p>
        </w:tc>
        <w:tc>
          <w:tcPr>
            <w:tcW w:w="1982" w:type="dxa"/>
            <w:shd w:val="clear" w:color="auto" w:fill="FFFFFF" w:themeFill="background1"/>
            <w:vAlign w:val="center"/>
          </w:tcPr>
          <w:p w14:paraId="5CDB5A66" w14:textId="77777777" w:rsidR="0015669F" w:rsidRPr="00177D75" w:rsidRDefault="0015669F" w:rsidP="008A07A3">
            <w:pPr>
              <w:jc w:val="center"/>
              <w:rPr>
                <w:color w:val="262626" w:themeColor="text1" w:themeTint="D9"/>
                <w:vertAlign w:val="subscript"/>
              </w:rPr>
            </w:pPr>
            <w:r w:rsidRPr="00177D75">
              <w:rPr>
                <w:color w:val="262626" w:themeColor="text1" w:themeTint="D9"/>
              </w:rPr>
              <w:t>X</w:t>
            </w:r>
            <w:r w:rsidRPr="00177D75">
              <w:rPr>
                <w:color w:val="262626" w:themeColor="text1" w:themeTint="D9"/>
                <w:vertAlign w:val="subscript"/>
              </w:rPr>
              <w:t>1</w:t>
            </w:r>
          </w:p>
        </w:tc>
        <w:tc>
          <w:tcPr>
            <w:tcW w:w="1982" w:type="dxa"/>
            <w:shd w:val="clear" w:color="auto" w:fill="FFFFFF" w:themeFill="background1"/>
            <w:vAlign w:val="center"/>
          </w:tcPr>
          <w:p w14:paraId="6627DDA9" w14:textId="77777777" w:rsidR="0015669F" w:rsidRPr="00177D75" w:rsidRDefault="0015669F" w:rsidP="008A07A3">
            <w:pPr>
              <w:jc w:val="center"/>
              <w:rPr>
                <w:color w:val="262626" w:themeColor="text1" w:themeTint="D9"/>
              </w:rPr>
            </w:pPr>
            <w:r w:rsidRPr="00177D75">
              <w:rPr>
                <w:color w:val="262626" w:themeColor="text1" w:themeTint="D9"/>
              </w:rPr>
              <w:t>O</w:t>
            </w:r>
            <w:r w:rsidRPr="00177D75">
              <w:rPr>
                <w:color w:val="262626" w:themeColor="text1" w:themeTint="D9"/>
                <w:vertAlign w:val="subscript"/>
              </w:rPr>
              <w:t>2</w:t>
            </w:r>
          </w:p>
        </w:tc>
      </w:tr>
      <w:tr w:rsidR="0015669F" w:rsidRPr="00177D75" w14:paraId="5A25B4AE" w14:textId="77777777" w:rsidTr="00E07B47">
        <w:tc>
          <w:tcPr>
            <w:tcW w:w="3261" w:type="dxa"/>
            <w:shd w:val="clear" w:color="auto" w:fill="FFFFFF" w:themeFill="background1"/>
            <w:vAlign w:val="center"/>
          </w:tcPr>
          <w:p w14:paraId="29512AE2" w14:textId="79E15963" w:rsidR="0015669F" w:rsidRPr="00811331" w:rsidRDefault="00811331" w:rsidP="00E07B47">
            <w:pPr>
              <w:jc w:val="center"/>
              <w:rPr>
                <w:color w:val="262626" w:themeColor="text1" w:themeTint="D9"/>
                <w:lang w:val="en-US"/>
              </w:rPr>
            </w:pPr>
            <w:r w:rsidRPr="00177D75">
              <w:rPr>
                <w:color w:val="262626" w:themeColor="text1" w:themeTint="D9"/>
              </w:rPr>
              <w:t>E</w:t>
            </w:r>
            <w:r>
              <w:rPr>
                <w:color w:val="262626" w:themeColor="text1" w:themeTint="D9"/>
                <w:lang w:val="en-US"/>
              </w:rPr>
              <w:t>x</w:t>
            </w:r>
            <w:r w:rsidRPr="00177D75">
              <w:rPr>
                <w:color w:val="262626" w:themeColor="text1" w:themeTint="D9"/>
              </w:rPr>
              <w:t>sperimen</w:t>
            </w:r>
            <w:r>
              <w:rPr>
                <w:color w:val="262626" w:themeColor="text1" w:themeTint="D9"/>
                <w:lang w:val="en-US"/>
              </w:rPr>
              <w:t>t</w:t>
            </w:r>
            <w:r w:rsidR="00E07B47">
              <w:rPr>
                <w:color w:val="262626" w:themeColor="text1" w:themeTint="D9"/>
                <w:lang w:val="en-US"/>
              </w:rPr>
              <w:t xml:space="preserve">al  </w:t>
            </w:r>
            <w:r>
              <w:rPr>
                <w:color w:val="262626" w:themeColor="text1" w:themeTint="D9"/>
                <w:lang w:val="en-US"/>
              </w:rPr>
              <w:t>group</w:t>
            </w:r>
            <w:r w:rsidRPr="00177D75">
              <w:rPr>
                <w:color w:val="262626" w:themeColor="text1" w:themeTint="D9"/>
              </w:rPr>
              <w:t xml:space="preserve"> </w:t>
            </w:r>
            <w:r>
              <w:rPr>
                <w:color w:val="262626" w:themeColor="text1" w:themeTint="D9"/>
                <w:lang w:val="en-US"/>
              </w:rPr>
              <w:t>2</w:t>
            </w:r>
          </w:p>
        </w:tc>
        <w:tc>
          <w:tcPr>
            <w:tcW w:w="1982" w:type="dxa"/>
            <w:shd w:val="clear" w:color="auto" w:fill="FFFFFF" w:themeFill="background1"/>
            <w:vAlign w:val="center"/>
          </w:tcPr>
          <w:p w14:paraId="29E6F3CC" w14:textId="77777777" w:rsidR="0015669F" w:rsidRPr="00177D75" w:rsidRDefault="0015669F" w:rsidP="008A07A3">
            <w:pPr>
              <w:jc w:val="center"/>
              <w:rPr>
                <w:color w:val="262626" w:themeColor="text1" w:themeTint="D9"/>
                <w:vertAlign w:val="subscript"/>
              </w:rPr>
            </w:pPr>
            <w:r w:rsidRPr="00177D75">
              <w:rPr>
                <w:color w:val="262626" w:themeColor="text1" w:themeTint="D9"/>
              </w:rPr>
              <w:t>O</w:t>
            </w:r>
            <w:r w:rsidRPr="00177D75">
              <w:rPr>
                <w:color w:val="262626" w:themeColor="text1" w:themeTint="D9"/>
                <w:vertAlign w:val="subscript"/>
              </w:rPr>
              <w:t>3</w:t>
            </w:r>
          </w:p>
        </w:tc>
        <w:tc>
          <w:tcPr>
            <w:tcW w:w="1982" w:type="dxa"/>
            <w:shd w:val="clear" w:color="auto" w:fill="FFFFFF" w:themeFill="background1"/>
            <w:vAlign w:val="center"/>
          </w:tcPr>
          <w:p w14:paraId="1C23AED4" w14:textId="77777777" w:rsidR="0015669F" w:rsidRPr="00177D75" w:rsidRDefault="0015669F" w:rsidP="008A07A3">
            <w:pPr>
              <w:jc w:val="center"/>
              <w:rPr>
                <w:color w:val="262626" w:themeColor="text1" w:themeTint="D9"/>
              </w:rPr>
            </w:pPr>
            <w:r w:rsidRPr="00177D75">
              <w:rPr>
                <w:color w:val="262626" w:themeColor="text1" w:themeTint="D9"/>
              </w:rPr>
              <w:t>X</w:t>
            </w:r>
            <w:r w:rsidRPr="00177D75">
              <w:rPr>
                <w:color w:val="262626" w:themeColor="text1" w:themeTint="D9"/>
                <w:vertAlign w:val="subscript"/>
              </w:rPr>
              <w:t>2</w:t>
            </w:r>
          </w:p>
        </w:tc>
        <w:tc>
          <w:tcPr>
            <w:tcW w:w="1982" w:type="dxa"/>
            <w:shd w:val="clear" w:color="auto" w:fill="FFFFFF" w:themeFill="background1"/>
            <w:vAlign w:val="center"/>
          </w:tcPr>
          <w:p w14:paraId="1FF6CD10" w14:textId="77777777" w:rsidR="0015669F" w:rsidRPr="00177D75" w:rsidRDefault="0015669F" w:rsidP="008A07A3">
            <w:pPr>
              <w:jc w:val="center"/>
              <w:rPr>
                <w:color w:val="262626" w:themeColor="text1" w:themeTint="D9"/>
                <w:vertAlign w:val="subscript"/>
              </w:rPr>
            </w:pPr>
            <w:r w:rsidRPr="00177D75">
              <w:rPr>
                <w:color w:val="262626" w:themeColor="text1" w:themeTint="D9"/>
              </w:rPr>
              <w:t>O</w:t>
            </w:r>
            <w:r w:rsidRPr="00177D75">
              <w:rPr>
                <w:color w:val="262626" w:themeColor="text1" w:themeTint="D9"/>
                <w:vertAlign w:val="subscript"/>
              </w:rPr>
              <w:t>4</w:t>
            </w:r>
          </w:p>
        </w:tc>
      </w:tr>
    </w:tbl>
    <w:p w14:paraId="73915731" w14:textId="6385C387" w:rsidR="0015669F" w:rsidRPr="00177D75" w:rsidRDefault="0015669F" w:rsidP="00811331">
      <w:pPr>
        <w:jc w:val="both"/>
        <w:rPr>
          <w:color w:val="262626" w:themeColor="text1" w:themeTint="D9"/>
        </w:rPr>
      </w:pPr>
      <w:r>
        <w:rPr>
          <w:color w:val="262626" w:themeColor="text1" w:themeTint="D9"/>
        </w:rPr>
        <w:t>S</w:t>
      </w:r>
      <w:r w:rsidR="00811331">
        <w:rPr>
          <w:color w:val="262626" w:themeColor="text1" w:themeTint="D9"/>
          <w:lang w:val="en-US"/>
        </w:rPr>
        <w:t>ource</w:t>
      </w:r>
      <w:r>
        <w:rPr>
          <w:color w:val="262626" w:themeColor="text1" w:themeTint="D9"/>
        </w:rPr>
        <w:t>: Kusaeri (2014:150</w:t>
      </w:r>
      <w:r w:rsidRPr="00177D75">
        <w:rPr>
          <w:color w:val="262626" w:themeColor="text1" w:themeTint="D9"/>
        </w:rPr>
        <w:t>)</w:t>
      </w:r>
    </w:p>
    <w:p w14:paraId="0A0B8B3D" w14:textId="77777777" w:rsidR="00E07B47" w:rsidRDefault="00E07B47" w:rsidP="0015669F">
      <w:pPr>
        <w:jc w:val="both"/>
        <w:rPr>
          <w:color w:val="262626" w:themeColor="text1" w:themeTint="D9"/>
          <w:lang w:val="en-US"/>
        </w:rPr>
      </w:pPr>
    </w:p>
    <w:p w14:paraId="29CAE6CB" w14:textId="552F137D" w:rsidR="0015669F" w:rsidRPr="00177D75" w:rsidRDefault="00811331" w:rsidP="0015669F">
      <w:pPr>
        <w:jc w:val="both"/>
        <w:rPr>
          <w:color w:val="262626" w:themeColor="text1" w:themeTint="D9"/>
        </w:rPr>
      </w:pPr>
      <w:r>
        <w:rPr>
          <w:color w:val="262626" w:themeColor="text1" w:themeTint="D9"/>
          <w:lang w:val="en-US"/>
        </w:rPr>
        <w:t>Description</w:t>
      </w:r>
      <w:r w:rsidR="0015669F" w:rsidRPr="00177D75">
        <w:rPr>
          <w:color w:val="262626" w:themeColor="text1" w:themeTint="D9"/>
        </w:rPr>
        <w:t>:</w:t>
      </w:r>
    </w:p>
    <w:p w14:paraId="6804B41D" w14:textId="2814E602" w:rsidR="0015669F" w:rsidRPr="00811331" w:rsidRDefault="0015669F" w:rsidP="0015669F">
      <w:pPr>
        <w:tabs>
          <w:tab w:val="left" w:pos="567"/>
        </w:tabs>
        <w:jc w:val="both"/>
        <w:rPr>
          <w:color w:val="262626" w:themeColor="text1" w:themeTint="D9"/>
          <w:lang w:val="en-US"/>
        </w:rPr>
      </w:pPr>
      <w:r w:rsidRPr="00177D75">
        <w:rPr>
          <w:color w:val="262626" w:themeColor="text1" w:themeTint="D9"/>
        </w:rPr>
        <w:t>O</w:t>
      </w:r>
      <w:r w:rsidRPr="00177D75">
        <w:rPr>
          <w:color w:val="262626" w:themeColor="text1" w:themeTint="D9"/>
          <w:vertAlign w:val="subscript"/>
        </w:rPr>
        <w:t xml:space="preserve">1 </w:t>
      </w:r>
      <w:r>
        <w:rPr>
          <w:i/>
          <w:color w:val="262626" w:themeColor="text1" w:themeTint="D9"/>
        </w:rPr>
        <w:t xml:space="preserve">= </w:t>
      </w:r>
      <w:r w:rsidRPr="009339B1">
        <w:rPr>
          <w:iCs/>
          <w:color w:val="262626" w:themeColor="text1" w:themeTint="D9"/>
        </w:rPr>
        <w:t>Pretest</w:t>
      </w:r>
      <w:r w:rsidRPr="00177D75">
        <w:rPr>
          <w:i/>
          <w:color w:val="262626" w:themeColor="text1" w:themeTint="D9"/>
        </w:rPr>
        <w:t xml:space="preserve"> </w:t>
      </w:r>
      <w:r w:rsidR="009339B1">
        <w:rPr>
          <w:color w:val="262626" w:themeColor="text1" w:themeTint="D9"/>
          <w:lang w:val="en-US"/>
        </w:rPr>
        <w:t>learning outcomes in the experimental class 1</w:t>
      </w:r>
      <w:r w:rsidR="00811331">
        <w:rPr>
          <w:color w:val="262626" w:themeColor="text1" w:themeTint="D9"/>
          <w:lang w:val="en-US"/>
        </w:rPr>
        <w:t xml:space="preserve"> </w:t>
      </w:r>
    </w:p>
    <w:p w14:paraId="177EA97C" w14:textId="31373338" w:rsidR="0015669F" w:rsidRPr="009339B1" w:rsidRDefault="0015669F" w:rsidP="0015669F">
      <w:pPr>
        <w:tabs>
          <w:tab w:val="left" w:pos="567"/>
        </w:tabs>
        <w:jc w:val="both"/>
        <w:rPr>
          <w:color w:val="262626" w:themeColor="text1" w:themeTint="D9"/>
          <w:lang w:val="en-US"/>
        </w:rPr>
      </w:pPr>
      <w:r w:rsidRPr="00177D75">
        <w:rPr>
          <w:color w:val="262626" w:themeColor="text1" w:themeTint="D9"/>
        </w:rPr>
        <w:t>O</w:t>
      </w:r>
      <w:r w:rsidRPr="00177D75">
        <w:rPr>
          <w:color w:val="262626" w:themeColor="text1" w:themeTint="D9"/>
          <w:vertAlign w:val="subscript"/>
        </w:rPr>
        <w:t xml:space="preserve">2 </w:t>
      </w:r>
      <w:r w:rsidRPr="00177D75">
        <w:rPr>
          <w:color w:val="262626" w:themeColor="text1" w:themeTint="D9"/>
        </w:rPr>
        <w:t xml:space="preserve">= </w:t>
      </w:r>
      <w:r w:rsidRPr="009339B1">
        <w:rPr>
          <w:iCs/>
          <w:color w:val="262626" w:themeColor="text1" w:themeTint="D9"/>
        </w:rPr>
        <w:t>Posttest</w:t>
      </w:r>
      <w:r w:rsidR="009339B1" w:rsidRPr="009339B1">
        <w:rPr>
          <w:iCs/>
          <w:color w:val="262626" w:themeColor="text1" w:themeTint="D9"/>
          <w:lang w:val="en-US"/>
        </w:rPr>
        <w:t xml:space="preserve"> </w:t>
      </w:r>
      <w:r w:rsidR="009339B1">
        <w:rPr>
          <w:color w:val="262626" w:themeColor="text1" w:themeTint="D9"/>
          <w:lang w:val="en-US"/>
        </w:rPr>
        <w:t xml:space="preserve">learning outcomes in the experimental class 1 </w:t>
      </w:r>
    </w:p>
    <w:p w14:paraId="0BAE60D9" w14:textId="7F1A34BE" w:rsidR="003A265C" w:rsidRPr="00811331" w:rsidRDefault="0015669F" w:rsidP="003A265C">
      <w:pPr>
        <w:tabs>
          <w:tab w:val="left" w:pos="567"/>
        </w:tabs>
        <w:jc w:val="both"/>
        <w:rPr>
          <w:color w:val="262626" w:themeColor="text1" w:themeTint="D9"/>
          <w:lang w:val="en-US"/>
        </w:rPr>
      </w:pPr>
      <w:r w:rsidRPr="00177D75">
        <w:rPr>
          <w:color w:val="262626" w:themeColor="text1" w:themeTint="D9"/>
        </w:rPr>
        <w:t>O</w:t>
      </w:r>
      <w:r w:rsidRPr="00177D75">
        <w:rPr>
          <w:color w:val="262626" w:themeColor="text1" w:themeTint="D9"/>
          <w:vertAlign w:val="subscript"/>
        </w:rPr>
        <w:t xml:space="preserve">3 </w:t>
      </w:r>
      <w:r w:rsidRPr="00177D75">
        <w:rPr>
          <w:color w:val="262626" w:themeColor="text1" w:themeTint="D9"/>
        </w:rPr>
        <w:t xml:space="preserve">= </w:t>
      </w:r>
      <w:r w:rsidR="003A265C" w:rsidRPr="009339B1">
        <w:rPr>
          <w:iCs/>
          <w:color w:val="262626" w:themeColor="text1" w:themeTint="D9"/>
        </w:rPr>
        <w:t>Pretest</w:t>
      </w:r>
      <w:r w:rsidR="003A265C" w:rsidRPr="00177D75">
        <w:rPr>
          <w:i/>
          <w:color w:val="262626" w:themeColor="text1" w:themeTint="D9"/>
        </w:rPr>
        <w:t xml:space="preserve"> </w:t>
      </w:r>
      <w:r w:rsidR="003A265C">
        <w:rPr>
          <w:color w:val="262626" w:themeColor="text1" w:themeTint="D9"/>
          <w:lang w:val="en-US"/>
        </w:rPr>
        <w:t xml:space="preserve">learning outcomes in the experimental class 2 </w:t>
      </w:r>
    </w:p>
    <w:p w14:paraId="2700F85F" w14:textId="5C271C69" w:rsidR="0015669F" w:rsidRPr="003A265C" w:rsidRDefault="0015669F" w:rsidP="003A265C">
      <w:pPr>
        <w:tabs>
          <w:tab w:val="left" w:pos="567"/>
        </w:tabs>
        <w:jc w:val="both"/>
        <w:rPr>
          <w:color w:val="262626" w:themeColor="text1" w:themeTint="D9"/>
          <w:lang w:val="en-US"/>
        </w:rPr>
      </w:pPr>
      <w:r w:rsidRPr="00177D75">
        <w:rPr>
          <w:color w:val="262626" w:themeColor="text1" w:themeTint="D9"/>
        </w:rPr>
        <w:t>O</w:t>
      </w:r>
      <w:r w:rsidRPr="00177D75">
        <w:rPr>
          <w:color w:val="262626" w:themeColor="text1" w:themeTint="D9"/>
          <w:vertAlign w:val="subscript"/>
        </w:rPr>
        <w:t>4</w:t>
      </w:r>
      <w:r w:rsidRPr="00177D75">
        <w:rPr>
          <w:color w:val="262626" w:themeColor="text1" w:themeTint="D9"/>
        </w:rPr>
        <w:t xml:space="preserve"> = </w:t>
      </w:r>
      <w:r w:rsidR="003A265C" w:rsidRPr="009339B1">
        <w:rPr>
          <w:iCs/>
          <w:color w:val="262626" w:themeColor="text1" w:themeTint="D9"/>
        </w:rPr>
        <w:t>Posttest</w:t>
      </w:r>
      <w:r w:rsidR="003A265C" w:rsidRPr="009339B1">
        <w:rPr>
          <w:iCs/>
          <w:color w:val="262626" w:themeColor="text1" w:themeTint="D9"/>
          <w:lang w:val="en-US"/>
        </w:rPr>
        <w:t xml:space="preserve"> </w:t>
      </w:r>
      <w:r w:rsidR="003A265C">
        <w:rPr>
          <w:color w:val="262626" w:themeColor="text1" w:themeTint="D9"/>
          <w:lang w:val="en-US"/>
        </w:rPr>
        <w:t>learning outcomes in the experimental class 2</w:t>
      </w:r>
    </w:p>
    <w:p w14:paraId="53643A2A" w14:textId="3C12ED6C" w:rsidR="0015669F" w:rsidRPr="003A265C" w:rsidRDefault="0015669F" w:rsidP="003A265C">
      <w:pPr>
        <w:pStyle w:val="HTMLPreformatted"/>
        <w:rPr>
          <w:rFonts w:ascii="Times New Roman" w:hAnsi="Times New Roman" w:cs="Times New Roman"/>
          <w:color w:val="202124"/>
          <w:sz w:val="24"/>
          <w:szCs w:val="24"/>
        </w:rPr>
      </w:pPr>
      <w:r w:rsidRPr="003A265C">
        <w:rPr>
          <w:rFonts w:ascii="Times New Roman" w:hAnsi="Times New Roman" w:cs="Times New Roman"/>
          <w:color w:val="262626" w:themeColor="text1" w:themeTint="D9"/>
          <w:sz w:val="24"/>
          <w:szCs w:val="24"/>
        </w:rPr>
        <w:t>X</w:t>
      </w:r>
      <w:r w:rsidRPr="003A265C">
        <w:rPr>
          <w:rFonts w:ascii="Times New Roman" w:hAnsi="Times New Roman" w:cs="Times New Roman"/>
          <w:color w:val="262626" w:themeColor="text1" w:themeTint="D9"/>
          <w:sz w:val="24"/>
          <w:szCs w:val="24"/>
          <w:vertAlign w:val="subscript"/>
        </w:rPr>
        <w:t>1</w:t>
      </w:r>
      <w:r w:rsidRPr="00177D75">
        <w:rPr>
          <w:color w:val="262626" w:themeColor="text1" w:themeTint="D9"/>
          <w:vertAlign w:val="subscript"/>
        </w:rPr>
        <w:t xml:space="preserve"> </w:t>
      </w:r>
      <w:r w:rsidRPr="00177D75">
        <w:rPr>
          <w:color w:val="262626" w:themeColor="text1" w:themeTint="D9"/>
        </w:rPr>
        <w:t xml:space="preserve">= </w:t>
      </w:r>
      <w:r w:rsidR="003A265C" w:rsidRPr="007A0959">
        <w:rPr>
          <w:rStyle w:val="y2iqfc"/>
          <w:rFonts w:ascii="Times New Roman" w:hAnsi="Times New Roman" w:cs="Times New Roman"/>
          <w:color w:val="202124"/>
          <w:sz w:val="24"/>
          <w:szCs w:val="24"/>
          <w:lang w:val="en"/>
        </w:rPr>
        <w:t>Learning using the TGT learning model equipped with question card media.</w:t>
      </w:r>
    </w:p>
    <w:p w14:paraId="0AEEDEC1" w14:textId="22734D34" w:rsidR="0015669F" w:rsidRPr="00177D75" w:rsidRDefault="0015669F" w:rsidP="003A265C">
      <w:pPr>
        <w:tabs>
          <w:tab w:val="left" w:pos="284"/>
          <w:tab w:val="left" w:pos="709"/>
        </w:tabs>
        <w:ind w:left="284" w:hanging="284"/>
        <w:jc w:val="both"/>
        <w:rPr>
          <w:color w:val="262626" w:themeColor="text1" w:themeTint="D9"/>
        </w:rPr>
      </w:pPr>
      <w:r>
        <w:rPr>
          <w:color w:val="262626" w:themeColor="text1" w:themeTint="D9"/>
        </w:rPr>
        <w:t>X</w:t>
      </w:r>
      <w:r>
        <w:rPr>
          <w:color w:val="262626" w:themeColor="text1" w:themeTint="D9"/>
          <w:vertAlign w:val="subscript"/>
        </w:rPr>
        <w:t>2</w:t>
      </w:r>
      <w:r>
        <w:rPr>
          <w:color w:val="262626" w:themeColor="text1" w:themeTint="D9"/>
        </w:rPr>
        <w:t xml:space="preserve">=  </w:t>
      </w:r>
      <w:r w:rsidR="003A265C" w:rsidRPr="007A0959">
        <w:rPr>
          <w:rStyle w:val="y2iqfc"/>
          <w:color w:val="202124"/>
          <w:lang w:val="en"/>
        </w:rPr>
        <w:t>Learning using the STAD learning model equipped withquestion card media.</w:t>
      </w:r>
    </w:p>
    <w:p w14:paraId="08E43675" w14:textId="77777777" w:rsidR="0015669F" w:rsidRDefault="0015669F" w:rsidP="0015669F">
      <w:pPr>
        <w:jc w:val="both"/>
        <w:rPr>
          <w:b/>
          <w:color w:val="262626" w:themeColor="text1" w:themeTint="D9"/>
        </w:rPr>
      </w:pPr>
    </w:p>
    <w:p w14:paraId="3609DDA7" w14:textId="10C32AF5" w:rsidR="0015669F" w:rsidRPr="007D15FA" w:rsidRDefault="007D15FA" w:rsidP="0003215D">
      <w:pPr>
        <w:pStyle w:val="HTMLPreformatted"/>
        <w:numPr>
          <w:ilvl w:val="0"/>
          <w:numId w:val="3"/>
        </w:numPr>
        <w:ind w:left="567" w:hanging="567"/>
        <w:rPr>
          <w:rFonts w:ascii="Times New Roman" w:hAnsi="Times New Roman" w:cs="Times New Roman"/>
          <w:color w:val="202124"/>
          <w:sz w:val="24"/>
          <w:szCs w:val="24"/>
        </w:rPr>
      </w:pPr>
      <w:r w:rsidRPr="006A533D">
        <w:rPr>
          <w:rStyle w:val="y2iqfc"/>
          <w:rFonts w:ascii="Times New Roman" w:hAnsi="Times New Roman" w:cs="Times New Roman"/>
          <w:color w:val="202124"/>
          <w:sz w:val="24"/>
          <w:szCs w:val="24"/>
          <w:lang w:val="en"/>
        </w:rPr>
        <w:t xml:space="preserve">Value Analysis for </w:t>
      </w:r>
      <w:r w:rsidRPr="00E07B47">
        <w:rPr>
          <w:rStyle w:val="y2iqfc"/>
          <w:rFonts w:ascii="Times New Roman" w:hAnsi="Times New Roman" w:cs="Times New Roman"/>
          <w:color w:val="202124"/>
          <w:sz w:val="24"/>
          <w:szCs w:val="24"/>
          <w:lang w:val="en"/>
        </w:rPr>
        <w:t xml:space="preserve">Each Item </w:t>
      </w:r>
      <w:r w:rsidR="0015669F" w:rsidRPr="00E07B47">
        <w:rPr>
          <w:rFonts w:ascii="Times New Roman" w:hAnsi="Times New Roman" w:cs="Times New Roman"/>
          <w:color w:val="262626" w:themeColor="text1" w:themeTint="D9"/>
          <w:sz w:val="24"/>
          <w:szCs w:val="24"/>
        </w:rPr>
        <w:t>Pretest-Posttest</w:t>
      </w:r>
    </w:p>
    <w:p w14:paraId="6C545A63" w14:textId="203F6FA0" w:rsidR="00CC16B1" w:rsidRPr="00CC16B1" w:rsidRDefault="00CC16B1" w:rsidP="00CC16B1">
      <w:pPr>
        <w:pStyle w:val="HTMLPreformatted"/>
        <w:ind w:left="720"/>
        <w:rPr>
          <w:rFonts w:ascii="Times New Roman" w:hAnsi="Times New Roman" w:cs="Times New Roman"/>
          <w:color w:val="202124"/>
          <w:sz w:val="24"/>
          <w:szCs w:val="24"/>
          <w:lang w:val="en"/>
        </w:rPr>
      </w:pPr>
      <w:r w:rsidRPr="00CC16B1">
        <w:rPr>
          <w:rStyle w:val="y2iqfc"/>
          <w:rFonts w:ascii="Times New Roman" w:hAnsi="Times New Roman" w:cs="Times New Roman"/>
          <w:color w:val="202124"/>
          <w:sz w:val="24"/>
          <w:szCs w:val="24"/>
          <w:lang w:val="en"/>
        </w:rPr>
        <w:t>Presenting students' answers for each item with using the formula:</w:t>
      </w:r>
    </w:p>
    <w:p w14:paraId="2626EF71" w14:textId="000C2A10" w:rsidR="0015669F" w:rsidRPr="00177D75" w:rsidRDefault="004A28FA" w:rsidP="0015669F">
      <w:pPr>
        <w:pStyle w:val="ListParagraph"/>
        <w:ind w:left="0" w:firstLine="709"/>
        <w:jc w:val="center"/>
      </w:pPr>
      <m:oMathPara>
        <m:oMath>
          <m:r>
            <m:rPr>
              <m:nor/>
            </m:rPr>
            <m:t xml:space="preserve">Score = </m:t>
          </m:r>
          <m:f>
            <m:fPr>
              <m:ctrlPr>
                <w:rPr>
                  <w:rFonts w:ascii="Cambria Math" w:hAnsi="Cambria Math"/>
                </w:rPr>
              </m:ctrlPr>
            </m:fPr>
            <m:num>
              <m:r>
                <m:rPr>
                  <m:sty m:val="p"/>
                </m:rPr>
                <w:rPr>
                  <w:rFonts w:ascii="Cambria Math" w:hAnsi="Cambria Math"/>
                </w:rPr>
                <m:t xml:space="preserve">Total Score Correct </m:t>
              </m:r>
            </m:num>
            <m:den>
              <m:r>
                <m:rPr>
                  <m:sty m:val="p"/>
                </m:rPr>
                <w:rPr>
                  <w:rFonts w:ascii="Cambria Math" w:hAnsi="Cambria Math"/>
                </w:rPr>
                <m:t>Total Score</m:t>
              </m:r>
            </m:den>
          </m:f>
          <m:r>
            <m:rPr>
              <m:nor/>
            </m:rPr>
            <m:t>x</m:t>
          </m:r>
          <m:r>
            <w:rPr>
              <w:rFonts w:ascii="Cambria Math" w:hAnsi="Cambria Math"/>
            </w:rPr>
            <m:t xml:space="preserve"> 100%</m:t>
          </m:r>
        </m:oMath>
      </m:oMathPara>
    </w:p>
    <w:p w14:paraId="3EBC7AB2" w14:textId="77777777" w:rsidR="0015669F" w:rsidRDefault="0015669F" w:rsidP="0015669F">
      <w:pPr>
        <w:ind w:left="2160" w:firstLine="720"/>
        <w:rPr>
          <w:rFonts w:eastAsiaTheme="minorEastAsia"/>
        </w:rPr>
      </w:pPr>
      <w:r w:rsidRPr="00177D75">
        <w:rPr>
          <w:rFonts w:eastAsiaTheme="minorEastAsia"/>
        </w:rPr>
        <w:t>(Sumber: Abdillah, 2018:25)</w:t>
      </w:r>
    </w:p>
    <w:p w14:paraId="5FBBE4CA" w14:textId="77777777" w:rsidR="0015669F" w:rsidRPr="00177D75" w:rsidRDefault="0015669F" w:rsidP="0015669F">
      <w:pPr>
        <w:ind w:left="2160" w:firstLine="720"/>
        <w:rPr>
          <w:rFonts w:eastAsiaTheme="minorEastAsia"/>
        </w:rPr>
      </w:pPr>
    </w:p>
    <w:p w14:paraId="762F002B" w14:textId="77777777" w:rsidR="004A28FA" w:rsidRPr="004A28FA" w:rsidRDefault="004A28FA" w:rsidP="004A28FA">
      <w:pPr>
        <w:pStyle w:val="HTMLPreformatted"/>
        <w:rPr>
          <w:rStyle w:val="y2iqfc"/>
          <w:rFonts w:ascii="Times New Roman" w:hAnsi="Times New Roman" w:cs="Times New Roman"/>
          <w:color w:val="202124"/>
          <w:sz w:val="24"/>
          <w:szCs w:val="24"/>
          <w:lang w:val="en"/>
        </w:rPr>
      </w:pPr>
      <w:r w:rsidRPr="004A28FA">
        <w:rPr>
          <w:rStyle w:val="y2iqfc"/>
          <w:rFonts w:ascii="Times New Roman" w:hAnsi="Times New Roman" w:cs="Times New Roman"/>
          <w:color w:val="202124"/>
          <w:sz w:val="24"/>
          <w:szCs w:val="24"/>
          <w:lang w:val="en"/>
        </w:rPr>
        <w:t>2) Analysis of Student Skills</w:t>
      </w:r>
    </w:p>
    <w:p w14:paraId="04265A86" w14:textId="77777777" w:rsidR="004A28FA" w:rsidRPr="004A28FA" w:rsidRDefault="004A28FA" w:rsidP="004A28FA">
      <w:pPr>
        <w:pStyle w:val="HTMLPreformatted"/>
        <w:rPr>
          <w:rFonts w:ascii="Times New Roman" w:hAnsi="Times New Roman" w:cs="Times New Roman"/>
          <w:color w:val="202124"/>
          <w:sz w:val="24"/>
          <w:szCs w:val="24"/>
        </w:rPr>
      </w:pPr>
      <w:r w:rsidRPr="004A28FA">
        <w:rPr>
          <w:rStyle w:val="y2iqfc"/>
          <w:rFonts w:ascii="Times New Roman" w:hAnsi="Times New Roman" w:cs="Times New Roman"/>
          <w:color w:val="202124"/>
          <w:sz w:val="24"/>
          <w:szCs w:val="24"/>
          <w:lang w:val="en"/>
        </w:rPr>
        <w:t>Data on the value of students' skills were analyzed using the formula:</w:t>
      </w:r>
    </w:p>
    <w:p w14:paraId="28C74ED2" w14:textId="043B99E3" w:rsidR="004A28FA" w:rsidRPr="00A84A2D" w:rsidRDefault="004A28FA" w:rsidP="00A84A2D">
      <w:pPr>
        <w:spacing w:before="240"/>
        <w:jc w:val="both"/>
        <w:rPr>
          <w:rFonts w:eastAsiaTheme="minorEastAsia"/>
          <w:i/>
        </w:rPr>
      </w:pPr>
      <m:oMathPara>
        <m:oMath>
          <m:r>
            <m:rPr>
              <m:sty m:val="p"/>
            </m:rPr>
            <w:rPr>
              <w:rFonts w:ascii="Cambria Math" w:hAnsi="Cambria Math"/>
            </w:rPr>
            <m:t>Score Student</m:t>
          </m:r>
          <m:r>
            <m:rPr>
              <m:nor/>
            </m:rPr>
            <w:rPr>
              <w:iCs/>
            </w:rPr>
            <m:t xml:space="preserve"> = </m:t>
          </m:r>
          <m:f>
            <m:fPr>
              <m:ctrlPr>
                <w:rPr>
                  <w:rFonts w:ascii="Cambria Math" w:hAnsi="Cambria Math"/>
                  <w:iCs/>
                </w:rPr>
              </m:ctrlPr>
            </m:fPr>
            <m:num>
              <m:r>
                <m:rPr>
                  <m:sty m:val="p"/>
                </m:rPr>
                <w:rPr>
                  <w:rFonts w:ascii="Cambria Math" w:hAnsi="Cambria Math"/>
                </w:rPr>
                <m:t>Total Score</m:t>
              </m:r>
            </m:num>
            <m:den>
              <m:r>
                <m:rPr>
                  <m:sty m:val="p"/>
                </m:rPr>
                <w:rPr>
                  <w:rFonts w:ascii="Cambria Math" w:hAnsi="Cambria Math"/>
                </w:rPr>
                <m:t xml:space="preserve">Score maxsimum </m:t>
              </m:r>
            </m:den>
          </m:f>
          <m:r>
            <m:rPr>
              <m:sty m:val="p"/>
            </m:rPr>
            <w:rPr>
              <w:rFonts w:ascii="Cambria Math" w:hAnsi="Cambria Math"/>
            </w:rPr>
            <m:t xml:space="preserve"> x 100 = Final Score</m:t>
          </m:r>
        </m:oMath>
      </m:oMathPara>
    </w:p>
    <w:p w14:paraId="686AB1BF" w14:textId="77777777" w:rsidR="00A84A2D" w:rsidRPr="00A84A2D" w:rsidRDefault="00A84A2D" w:rsidP="00A84A2D">
      <w:pPr>
        <w:pStyle w:val="HTMLPreformatted"/>
        <w:spacing w:line="540" w:lineRule="atLeast"/>
        <w:rPr>
          <w:rFonts w:ascii="Times New Roman" w:hAnsi="Times New Roman" w:cs="Times New Roman"/>
          <w:color w:val="202124"/>
          <w:sz w:val="24"/>
          <w:szCs w:val="24"/>
        </w:rPr>
      </w:pPr>
      <w:r w:rsidRPr="00A84A2D">
        <w:rPr>
          <w:rStyle w:val="y2iqfc"/>
          <w:rFonts w:ascii="Times New Roman" w:hAnsi="Times New Roman" w:cs="Times New Roman"/>
          <w:color w:val="202124"/>
          <w:sz w:val="24"/>
          <w:szCs w:val="24"/>
          <w:lang w:val="en"/>
        </w:rPr>
        <w:t>Table 2. Psychomotor Assessment Criteria for Students</w:t>
      </w:r>
    </w:p>
    <w:tbl>
      <w:tblPr>
        <w:tblW w:w="0" w:type="auto"/>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2977"/>
      </w:tblGrid>
      <w:tr w:rsidR="0015669F" w:rsidRPr="00177D75" w14:paraId="2BB38661" w14:textId="77777777" w:rsidTr="008A07A3">
        <w:tc>
          <w:tcPr>
            <w:tcW w:w="3119" w:type="dxa"/>
            <w:tcBorders>
              <w:bottom w:val="single" w:sz="4" w:space="0" w:color="auto"/>
            </w:tcBorders>
            <w:vAlign w:val="center"/>
          </w:tcPr>
          <w:p w14:paraId="3B72FD16" w14:textId="632AA864" w:rsidR="0015669F" w:rsidRPr="00A84A2D" w:rsidRDefault="00A84A2D" w:rsidP="00A84A2D">
            <w:pPr>
              <w:pStyle w:val="HTMLPreformatted"/>
              <w:shd w:val="clear" w:color="auto" w:fill="F8F9FA"/>
              <w:rPr>
                <w:rFonts w:ascii="Times New Roman" w:hAnsi="Times New Roman" w:cs="Times New Roman"/>
                <w:color w:val="202124"/>
                <w:sz w:val="24"/>
                <w:szCs w:val="24"/>
              </w:rPr>
            </w:pPr>
            <w:r w:rsidRPr="00A84A2D">
              <w:rPr>
                <w:rStyle w:val="y2iqfc"/>
                <w:rFonts w:ascii="Times New Roman" w:hAnsi="Times New Roman" w:cs="Times New Roman"/>
                <w:color w:val="202124"/>
                <w:sz w:val="24"/>
                <w:szCs w:val="24"/>
                <w:lang w:val="en"/>
              </w:rPr>
              <w:t>Skill Value</w:t>
            </w:r>
          </w:p>
        </w:tc>
        <w:tc>
          <w:tcPr>
            <w:tcW w:w="2977" w:type="dxa"/>
            <w:tcBorders>
              <w:bottom w:val="single" w:sz="4" w:space="0" w:color="auto"/>
            </w:tcBorders>
            <w:vAlign w:val="center"/>
          </w:tcPr>
          <w:p w14:paraId="4564162D" w14:textId="5E8F813B" w:rsidR="0015669F" w:rsidRPr="003051EE" w:rsidRDefault="00A84A2D" w:rsidP="008A07A3">
            <w:pPr>
              <w:jc w:val="center"/>
              <w:rPr>
                <w:rFonts w:eastAsiaTheme="minorEastAsia"/>
              </w:rPr>
            </w:pPr>
            <w:r>
              <w:rPr>
                <w:rFonts w:eastAsiaTheme="minorEastAsia"/>
                <w:lang w:val="en-US"/>
              </w:rPr>
              <w:t>C</w:t>
            </w:r>
            <w:r w:rsidR="0015669F" w:rsidRPr="003051EE">
              <w:rPr>
                <w:rFonts w:eastAsiaTheme="minorEastAsia"/>
              </w:rPr>
              <w:t>riteria</w:t>
            </w:r>
          </w:p>
        </w:tc>
      </w:tr>
      <w:tr w:rsidR="00A84A2D" w:rsidRPr="00177D75" w14:paraId="4FAE8FC1" w14:textId="77777777" w:rsidTr="008A07A3">
        <w:tc>
          <w:tcPr>
            <w:tcW w:w="3119" w:type="dxa"/>
            <w:tcBorders>
              <w:top w:val="single" w:sz="4" w:space="0" w:color="auto"/>
              <w:bottom w:val="nil"/>
            </w:tcBorders>
          </w:tcPr>
          <w:p w14:paraId="2136FC66" w14:textId="77777777" w:rsidR="00A84A2D" w:rsidRPr="00177D75" w:rsidRDefault="00A84A2D" w:rsidP="00A84A2D">
            <w:pPr>
              <w:jc w:val="center"/>
              <w:rPr>
                <w:rFonts w:eastAsiaTheme="minorEastAsia"/>
              </w:rPr>
            </w:pPr>
            <w:r w:rsidRPr="00177D75">
              <w:rPr>
                <w:rFonts w:eastAsiaTheme="minorEastAsia"/>
              </w:rPr>
              <w:t>80 ≤ SB ≤ 100</w:t>
            </w:r>
          </w:p>
        </w:tc>
        <w:tc>
          <w:tcPr>
            <w:tcW w:w="2977" w:type="dxa"/>
            <w:tcBorders>
              <w:top w:val="single" w:sz="4" w:space="0" w:color="auto"/>
              <w:bottom w:val="nil"/>
            </w:tcBorders>
          </w:tcPr>
          <w:p w14:paraId="557DA1A1" w14:textId="1A7D5A06" w:rsidR="00A84A2D" w:rsidRPr="00A84A2D" w:rsidRDefault="00A84A2D" w:rsidP="00A84A2D">
            <w:pPr>
              <w:jc w:val="center"/>
              <w:rPr>
                <w:rFonts w:eastAsiaTheme="minorEastAsia"/>
              </w:rPr>
            </w:pPr>
            <w:r w:rsidRPr="00A84A2D">
              <w:rPr>
                <w:rStyle w:val="y2iqfc"/>
                <w:color w:val="202124"/>
                <w:lang w:val="en"/>
              </w:rPr>
              <w:t>Very good</w:t>
            </w:r>
          </w:p>
        </w:tc>
      </w:tr>
      <w:tr w:rsidR="00A84A2D" w:rsidRPr="00177D75" w14:paraId="2F39526B" w14:textId="77777777" w:rsidTr="008A07A3">
        <w:tc>
          <w:tcPr>
            <w:tcW w:w="3119" w:type="dxa"/>
            <w:tcBorders>
              <w:top w:val="nil"/>
              <w:bottom w:val="nil"/>
            </w:tcBorders>
          </w:tcPr>
          <w:p w14:paraId="76CDB906" w14:textId="77777777" w:rsidR="00A84A2D" w:rsidRPr="00177D75" w:rsidRDefault="00A84A2D" w:rsidP="00A84A2D">
            <w:pPr>
              <w:jc w:val="center"/>
              <w:rPr>
                <w:rFonts w:eastAsiaTheme="minorEastAsia"/>
              </w:rPr>
            </w:pPr>
            <w:r w:rsidRPr="00177D75">
              <w:rPr>
                <w:rFonts w:eastAsiaTheme="minorEastAsia"/>
              </w:rPr>
              <w:t>70 ≤ B ≤ 79</w:t>
            </w:r>
          </w:p>
        </w:tc>
        <w:tc>
          <w:tcPr>
            <w:tcW w:w="2977" w:type="dxa"/>
            <w:tcBorders>
              <w:top w:val="nil"/>
              <w:bottom w:val="nil"/>
            </w:tcBorders>
          </w:tcPr>
          <w:p w14:paraId="4D401A2F" w14:textId="73A9E6AE" w:rsidR="00A84A2D" w:rsidRPr="00A84A2D" w:rsidRDefault="00A84A2D" w:rsidP="00A84A2D">
            <w:pPr>
              <w:jc w:val="center"/>
              <w:rPr>
                <w:rFonts w:eastAsiaTheme="minorEastAsia"/>
              </w:rPr>
            </w:pPr>
            <w:r w:rsidRPr="00A84A2D">
              <w:rPr>
                <w:rStyle w:val="y2iqfc"/>
                <w:color w:val="202124"/>
                <w:lang w:val="en"/>
              </w:rPr>
              <w:t>Well</w:t>
            </w:r>
          </w:p>
        </w:tc>
      </w:tr>
      <w:tr w:rsidR="00A84A2D" w:rsidRPr="00177D75" w14:paraId="632DF201" w14:textId="77777777" w:rsidTr="008A07A3">
        <w:tc>
          <w:tcPr>
            <w:tcW w:w="3119" w:type="dxa"/>
            <w:tcBorders>
              <w:top w:val="nil"/>
              <w:bottom w:val="nil"/>
            </w:tcBorders>
          </w:tcPr>
          <w:p w14:paraId="451BA870" w14:textId="77777777" w:rsidR="00A84A2D" w:rsidRPr="00177D75" w:rsidRDefault="00A84A2D" w:rsidP="00A84A2D">
            <w:pPr>
              <w:jc w:val="center"/>
              <w:rPr>
                <w:rFonts w:eastAsiaTheme="minorEastAsia"/>
              </w:rPr>
            </w:pPr>
            <w:r w:rsidRPr="00177D75">
              <w:rPr>
                <w:rFonts w:eastAsiaTheme="minorEastAsia"/>
              </w:rPr>
              <w:t>60 ≤ C ≤ 69</w:t>
            </w:r>
          </w:p>
        </w:tc>
        <w:tc>
          <w:tcPr>
            <w:tcW w:w="2977" w:type="dxa"/>
            <w:tcBorders>
              <w:top w:val="nil"/>
              <w:bottom w:val="nil"/>
            </w:tcBorders>
          </w:tcPr>
          <w:p w14:paraId="5119BB29" w14:textId="1D90BA0D" w:rsidR="00A84A2D" w:rsidRPr="00A84A2D" w:rsidRDefault="00A84A2D" w:rsidP="00A84A2D">
            <w:pPr>
              <w:jc w:val="center"/>
              <w:rPr>
                <w:rFonts w:eastAsiaTheme="minorEastAsia"/>
              </w:rPr>
            </w:pPr>
            <w:r w:rsidRPr="00A84A2D">
              <w:rPr>
                <w:rStyle w:val="y2iqfc"/>
                <w:color w:val="202124"/>
                <w:lang w:val="en"/>
              </w:rPr>
              <w:t>Enough</w:t>
            </w:r>
          </w:p>
        </w:tc>
      </w:tr>
      <w:tr w:rsidR="00A84A2D" w:rsidRPr="00177D75" w14:paraId="25BF9BFB" w14:textId="77777777" w:rsidTr="008A07A3">
        <w:tc>
          <w:tcPr>
            <w:tcW w:w="3119" w:type="dxa"/>
            <w:tcBorders>
              <w:top w:val="nil"/>
              <w:bottom w:val="single" w:sz="4" w:space="0" w:color="auto"/>
            </w:tcBorders>
          </w:tcPr>
          <w:p w14:paraId="74A9EF98" w14:textId="77777777" w:rsidR="00A84A2D" w:rsidRPr="00177D75" w:rsidRDefault="00A84A2D" w:rsidP="00A84A2D">
            <w:pPr>
              <w:jc w:val="center"/>
              <w:rPr>
                <w:rFonts w:eastAsiaTheme="minorEastAsia"/>
              </w:rPr>
            </w:pPr>
            <w:r w:rsidRPr="00177D75">
              <w:rPr>
                <w:rFonts w:eastAsiaTheme="minorEastAsia"/>
              </w:rPr>
              <w:t>≤ 60</w:t>
            </w:r>
          </w:p>
        </w:tc>
        <w:tc>
          <w:tcPr>
            <w:tcW w:w="2977" w:type="dxa"/>
            <w:tcBorders>
              <w:top w:val="nil"/>
              <w:bottom w:val="single" w:sz="4" w:space="0" w:color="auto"/>
            </w:tcBorders>
          </w:tcPr>
          <w:p w14:paraId="36599540" w14:textId="74B94EC5" w:rsidR="00A84A2D" w:rsidRPr="00A84A2D" w:rsidRDefault="00A84A2D" w:rsidP="00A84A2D">
            <w:pPr>
              <w:jc w:val="center"/>
              <w:rPr>
                <w:rFonts w:eastAsiaTheme="minorEastAsia"/>
              </w:rPr>
            </w:pPr>
            <w:r w:rsidRPr="00A84A2D">
              <w:rPr>
                <w:rStyle w:val="y2iqfc"/>
                <w:color w:val="202124"/>
                <w:lang w:val="en"/>
              </w:rPr>
              <w:t>Not enough</w:t>
            </w:r>
          </w:p>
        </w:tc>
      </w:tr>
    </w:tbl>
    <w:p w14:paraId="42CFBCF5" w14:textId="77777777" w:rsidR="0015669F" w:rsidRDefault="0015669F" w:rsidP="0015669F">
      <w:pPr>
        <w:jc w:val="both"/>
        <w:rPr>
          <w:rFonts w:eastAsiaTheme="minorEastAsia"/>
        </w:rPr>
      </w:pPr>
      <w:r w:rsidRPr="00177D75">
        <w:rPr>
          <w:rFonts w:eastAsiaTheme="minorEastAsia"/>
        </w:rPr>
        <w:tab/>
        <w:t>Sumber: Laili (2015:65)</w:t>
      </w:r>
    </w:p>
    <w:p w14:paraId="3690D580" w14:textId="77777777" w:rsidR="0015669F" w:rsidRPr="00177D75" w:rsidRDefault="0015669F" w:rsidP="0015669F">
      <w:pPr>
        <w:jc w:val="both"/>
        <w:rPr>
          <w:rFonts w:eastAsiaTheme="minorEastAsia"/>
        </w:rPr>
      </w:pPr>
    </w:p>
    <w:p w14:paraId="36C320C1" w14:textId="77777777" w:rsidR="00A84A2D" w:rsidRPr="00A84A2D" w:rsidRDefault="00A84A2D" w:rsidP="00A84A2D">
      <w:pPr>
        <w:pStyle w:val="HTMLPreformatted"/>
        <w:jc w:val="both"/>
        <w:rPr>
          <w:rStyle w:val="y2iqfc"/>
          <w:rFonts w:ascii="Times New Roman" w:hAnsi="Times New Roman" w:cs="Times New Roman"/>
          <w:color w:val="202124"/>
          <w:sz w:val="24"/>
          <w:szCs w:val="24"/>
          <w:lang w:val="en"/>
        </w:rPr>
      </w:pPr>
      <w:r w:rsidRPr="00A84A2D">
        <w:rPr>
          <w:rStyle w:val="y2iqfc"/>
          <w:rFonts w:ascii="Times New Roman" w:hAnsi="Times New Roman" w:cs="Times New Roman"/>
          <w:color w:val="202124"/>
          <w:sz w:val="24"/>
          <w:szCs w:val="24"/>
          <w:lang w:val="en"/>
        </w:rPr>
        <w:t>2) Hypothesis Prerequisite Test</w:t>
      </w:r>
    </w:p>
    <w:p w14:paraId="76CC69C5" w14:textId="77777777" w:rsidR="00A84A2D" w:rsidRPr="00A84A2D" w:rsidRDefault="00A84A2D" w:rsidP="00A84A2D">
      <w:pPr>
        <w:pStyle w:val="HTMLPreformatted"/>
        <w:jc w:val="both"/>
        <w:rPr>
          <w:rStyle w:val="y2iqfc"/>
          <w:rFonts w:ascii="Times New Roman" w:hAnsi="Times New Roman" w:cs="Times New Roman"/>
          <w:color w:val="202124"/>
          <w:sz w:val="24"/>
          <w:szCs w:val="24"/>
          <w:lang w:val="en"/>
        </w:rPr>
      </w:pPr>
      <w:r w:rsidRPr="00A84A2D">
        <w:rPr>
          <w:rStyle w:val="y2iqfc"/>
          <w:rFonts w:ascii="Times New Roman" w:hAnsi="Times New Roman" w:cs="Times New Roman"/>
          <w:color w:val="202124"/>
          <w:sz w:val="24"/>
          <w:szCs w:val="24"/>
          <w:lang w:val="en"/>
        </w:rPr>
        <w:t>The data analysis technique using t-test can be done if it meets the following prerequisite tests:</w:t>
      </w:r>
    </w:p>
    <w:p w14:paraId="1B02ACB8" w14:textId="77777777" w:rsidR="00A84A2D" w:rsidRPr="00A84A2D" w:rsidRDefault="00A84A2D" w:rsidP="00A84A2D">
      <w:pPr>
        <w:pStyle w:val="HTMLPreformatted"/>
        <w:jc w:val="both"/>
        <w:rPr>
          <w:rStyle w:val="y2iqfc"/>
          <w:rFonts w:ascii="Times New Roman" w:hAnsi="Times New Roman" w:cs="Times New Roman"/>
          <w:color w:val="202124"/>
          <w:sz w:val="24"/>
          <w:szCs w:val="24"/>
          <w:lang w:val="en"/>
        </w:rPr>
      </w:pPr>
      <w:r w:rsidRPr="00A84A2D">
        <w:rPr>
          <w:rStyle w:val="y2iqfc"/>
          <w:rFonts w:ascii="Times New Roman" w:hAnsi="Times New Roman" w:cs="Times New Roman"/>
          <w:color w:val="202124"/>
          <w:sz w:val="24"/>
          <w:szCs w:val="24"/>
          <w:lang w:val="en"/>
        </w:rPr>
        <w:t>Normality Test and Homogeneity Test</w:t>
      </w:r>
    </w:p>
    <w:p w14:paraId="518470A8" w14:textId="10828D65" w:rsidR="00A84A2D" w:rsidRPr="00A84A2D" w:rsidRDefault="00A84A2D" w:rsidP="00A84A2D">
      <w:pPr>
        <w:pStyle w:val="HTMLPreformatted"/>
        <w:jc w:val="both"/>
        <w:rPr>
          <w:rFonts w:ascii="Times New Roman" w:hAnsi="Times New Roman" w:cs="Times New Roman"/>
          <w:sz w:val="24"/>
          <w:szCs w:val="24"/>
        </w:rPr>
      </w:pPr>
      <w:r w:rsidRPr="00A84A2D">
        <w:rPr>
          <w:rStyle w:val="y2iqfc"/>
          <w:rFonts w:ascii="Times New Roman" w:hAnsi="Times New Roman" w:cs="Times New Roman"/>
          <w:color w:val="202124"/>
          <w:sz w:val="24"/>
          <w:szCs w:val="24"/>
          <w:lang w:val="en"/>
        </w:rPr>
        <w:t xml:space="preserve">Normality test aims to determine whether the data obtained in the study from data that is normally distributed/homogeneous or not (Menanti, 2015:47). The normality test was analyzed using statistical tests using the Shapiro Wilk technique assisted by SPSS 17.0 software for windows with a significant level of 5% or 0.05. Test </w:t>
      </w:r>
      <w:r w:rsidRPr="00A84A2D">
        <w:rPr>
          <w:rFonts w:ascii="Times New Roman" w:hAnsi="Times New Roman" w:cs="Times New Roman"/>
          <w:sz w:val="24"/>
          <w:szCs w:val="24"/>
        </w:rPr>
        <w:t xml:space="preserve">homogeneity is used to </w:t>
      </w:r>
      <w:r w:rsidRPr="00A84A2D">
        <w:rPr>
          <w:rFonts w:ascii="Times New Roman" w:hAnsi="Times New Roman" w:cs="Times New Roman"/>
          <w:sz w:val="24"/>
          <w:szCs w:val="24"/>
        </w:rPr>
        <w:lastRenderedPageBreak/>
        <w:t>determine whether the data obtained is homogeneous or not. In this homogeneity test using the Homogeney of Variance test at a significant level of 5% or 0.05.</w:t>
      </w:r>
    </w:p>
    <w:p w14:paraId="60E2B6A5" w14:textId="77777777" w:rsidR="00A84A2D" w:rsidRPr="00A84A2D" w:rsidRDefault="00A84A2D" w:rsidP="00A84A2D">
      <w:pPr>
        <w:pStyle w:val="HTMLPreformatted"/>
        <w:jc w:val="both"/>
        <w:rPr>
          <w:rFonts w:ascii="Times New Roman" w:hAnsi="Times New Roman" w:cs="Times New Roman"/>
          <w:sz w:val="24"/>
          <w:szCs w:val="24"/>
        </w:rPr>
      </w:pPr>
      <w:r w:rsidRPr="00A84A2D">
        <w:rPr>
          <w:rFonts w:ascii="Times New Roman" w:hAnsi="Times New Roman" w:cs="Times New Roman"/>
          <w:sz w:val="24"/>
          <w:szCs w:val="24"/>
        </w:rPr>
        <w:t>*If sig. &gt; 0.05 then the data is normal/homogeneous</w:t>
      </w:r>
    </w:p>
    <w:p w14:paraId="7485BB12" w14:textId="77777777" w:rsidR="00A84A2D" w:rsidRPr="00A84A2D" w:rsidRDefault="00A84A2D" w:rsidP="00A84A2D">
      <w:pPr>
        <w:pStyle w:val="HTMLPreformatted"/>
        <w:jc w:val="both"/>
        <w:rPr>
          <w:rFonts w:ascii="Times New Roman" w:hAnsi="Times New Roman" w:cs="Times New Roman"/>
          <w:sz w:val="24"/>
          <w:szCs w:val="24"/>
        </w:rPr>
      </w:pPr>
      <w:r w:rsidRPr="00A84A2D">
        <w:rPr>
          <w:rFonts w:ascii="Times New Roman" w:hAnsi="Times New Roman" w:cs="Times New Roman"/>
          <w:sz w:val="24"/>
          <w:szCs w:val="24"/>
        </w:rPr>
        <w:t>*If sig. &lt; 0.05 then the data is not normal / not homogeneous</w:t>
      </w:r>
    </w:p>
    <w:p w14:paraId="33F06349" w14:textId="7B7710AA" w:rsidR="0015669F" w:rsidRDefault="00A84A2D" w:rsidP="00A84A2D">
      <w:pPr>
        <w:pStyle w:val="HTMLPreformatted"/>
        <w:jc w:val="both"/>
        <w:rPr>
          <w:rFonts w:ascii="Times New Roman" w:hAnsi="Times New Roman" w:cs="Times New Roman"/>
          <w:sz w:val="24"/>
          <w:szCs w:val="24"/>
        </w:rPr>
      </w:pPr>
      <w:r w:rsidRPr="00A84A2D">
        <w:rPr>
          <w:rFonts w:ascii="Times New Roman" w:hAnsi="Times New Roman" w:cs="Times New Roman"/>
          <w:sz w:val="24"/>
          <w:szCs w:val="24"/>
        </w:rPr>
        <w:t>(Wahyudi, 2015:32).</w:t>
      </w:r>
    </w:p>
    <w:p w14:paraId="21C733B5" w14:textId="77777777" w:rsidR="00A84A2D" w:rsidRPr="00A84A2D" w:rsidRDefault="00A84A2D" w:rsidP="00A84A2D">
      <w:pPr>
        <w:pStyle w:val="HTMLPreformatted"/>
        <w:jc w:val="both"/>
        <w:rPr>
          <w:rFonts w:ascii="Times New Roman" w:hAnsi="Times New Roman" w:cs="Times New Roman"/>
          <w:sz w:val="24"/>
          <w:szCs w:val="24"/>
        </w:rPr>
      </w:pPr>
    </w:p>
    <w:p w14:paraId="1EE9D198" w14:textId="77777777" w:rsidR="00CC4079" w:rsidRPr="00CC4079" w:rsidRDefault="00CC4079" w:rsidP="00CC4079">
      <w:pPr>
        <w:pStyle w:val="ListParagraph"/>
        <w:tabs>
          <w:tab w:val="left" w:pos="142"/>
        </w:tabs>
        <w:ind w:left="0"/>
        <w:jc w:val="both"/>
        <w:rPr>
          <w:color w:val="262626" w:themeColor="text1" w:themeTint="D9"/>
        </w:rPr>
      </w:pPr>
      <w:r w:rsidRPr="00CC4079">
        <w:rPr>
          <w:color w:val="262626" w:themeColor="text1" w:themeTint="D9"/>
        </w:rPr>
        <w:t>Data Hypothesis Test (T-Test)</w:t>
      </w:r>
    </w:p>
    <w:p w14:paraId="0B1A6646" w14:textId="21CE0762" w:rsidR="00CC4079" w:rsidRPr="00CC4079" w:rsidRDefault="00CC4079" w:rsidP="00CC4079">
      <w:pPr>
        <w:pStyle w:val="ListParagraph"/>
        <w:tabs>
          <w:tab w:val="left" w:pos="142"/>
        </w:tabs>
        <w:ind w:left="0"/>
        <w:jc w:val="both"/>
        <w:rPr>
          <w:color w:val="262626" w:themeColor="text1" w:themeTint="D9"/>
        </w:rPr>
      </w:pPr>
      <w:r>
        <w:rPr>
          <w:color w:val="262626" w:themeColor="text1" w:themeTint="D9"/>
        </w:rPr>
        <w:tab/>
      </w:r>
      <w:r>
        <w:rPr>
          <w:color w:val="262626" w:themeColor="text1" w:themeTint="D9"/>
        </w:rPr>
        <w:tab/>
      </w:r>
      <w:r w:rsidRPr="00CC4079">
        <w:rPr>
          <w:color w:val="262626" w:themeColor="text1" w:themeTint="D9"/>
        </w:rPr>
        <w:t>The average similarity test is carried out so that it is known that the sample group to be given treatment is known whether their initial average ability is the same or different. The test used is the t-test because it compares two groups of samples. Tests are used to determine whether there is a comparison if a character is given different treatments. The data analysis technique using t-test is carried out if it meets the prerequisite tests such as normality test and homogeneity test. This test was carried out on the final test of the first group and the second group. To be calculated using SPSS 17.0 software for Windows with a significant level of 0.05. The formulation of the hypothesis uses a two-tailed test with a right-hand decision test, namely:</w:t>
      </w:r>
    </w:p>
    <w:p w14:paraId="7AB22174" w14:textId="77777777" w:rsidR="0015669F" w:rsidRPr="00CA1B52" w:rsidRDefault="0015669F" w:rsidP="0015669F">
      <w:pPr>
        <w:rPr>
          <w:color w:val="262626" w:themeColor="text1" w:themeTint="D9"/>
        </w:rPr>
      </w:pPr>
      <w:r w:rsidRPr="00CA1B52">
        <w:rPr>
          <w:color w:val="262626" w:themeColor="text1" w:themeTint="D9"/>
        </w:rPr>
        <w:t>H</w:t>
      </w:r>
      <w:r w:rsidRPr="00CA1B52">
        <w:rPr>
          <w:color w:val="262626" w:themeColor="text1" w:themeTint="D9"/>
          <w:vertAlign w:val="subscript"/>
        </w:rPr>
        <w:t>0</w:t>
      </w:r>
      <w:r w:rsidRPr="00CA1B52">
        <w:rPr>
          <w:color w:val="262626" w:themeColor="text1" w:themeTint="D9"/>
        </w:rPr>
        <w:t xml:space="preserve">: </w:t>
      </w:r>
      <m:oMath>
        <m:sSub>
          <m:sSubPr>
            <m:ctrlPr>
              <w:rPr>
                <w:rFonts w:ascii="Cambria Math" w:hAnsi="Cambria Math"/>
                <w:i/>
                <w:color w:val="262626" w:themeColor="text1" w:themeTint="D9"/>
              </w:rPr>
            </m:ctrlPr>
          </m:sSubPr>
          <m:e>
            <m:r>
              <w:rPr>
                <w:rFonts w:ascii="Cambria Math" w:hAnsi="Cambria Math"/>
                <w:color w:val="262626" w:themeColor="text1" w:themeTint="D9"/>
              </w:rPr>
              <m:t>μ</m:t>
            </m:r>
          </m:e>
          <m:sub>
            <m:r>
              <w:rPr>
                <w:rFonts w:ascii="Cambria Math" w:hAnsi="Cambria Math"/>
                <w:color w:val="262626" w:themeColor="text1" w:themeTint="D9"/>
              </w:rPr>
              <m:t>1</m:t>
            </m:r>
          </m:sub>
        </m:sSub>
        <m:r>
          <w:rPr>
            <w:rFonts w:ascii="Cambria Math" w:hAnsi="Cambria Math"/>
            <w:color w:val="262626" w:themeColor="text1" w:themeTint="D9"/>
          </w:rPr>
          <m:t xml:space="preserve">= </m:t>
        </m:r>
        <m:sSub>
          <m:sSubPr>
            <m:ctrlPr>
              <w:rPr>
                <w:rFonts w:ascii="Cambria Math" w:hAnsi="Cambria Math"/>
                <w:i/>
                <w:color w:val="262626" w:themeColor="text1" w:themeTint="D9"/>
              </w:rPr>
            </m:ctrlPr>
          </m:sSubPr>
          <m:e>
            <m:r>
              <w:rPr>
                <w:rFonts w:ascii="Cambria Math" w:hAnsi="Cambria Math"/>
                <w:color w:val="262626" w:themeColor="text1" w:themeTint="D9"/>
              </w:rPr>
              <m:t>μ</m:t>
            </m:r>
          </m:e>
          <m:sub>
            <m:r>
              <w:rPr>
                <w:rFonts w:ascii="Cambria Math" w:hAnsi="Cambria Math"/>
                <w:color w:val="262626" w:themeColor="text1" w:themeTint="D9"/>
              </w:rPr>
              <m:t>2</m:t>
            </m:r>
          </m:sub>
        </m:sSub>
      </m:oMath>
    </w:p>
    <w:p w14:paraId="1EBA548E" w14:textId="77777777" w:rsidR="0015669F" w:rsidRPr="00CA1B52" w:rsidRDefault="0015669F" w:rsidP="0015669F">
      <w:pPr>
        <w:rPr>
          <w:i/>
          <w:color w:val="262626" w:themeColor="text1" w:themeTint="D9"/>
        </w:rPr>
      </w:pPr>
      <w:r w:rsidRPr="00CA1B52">
        <w:rPr>
          <w:color w:val="262626" w:themeColor="text1" w:themeTint="D9"/>
        </w:rPr>
        <w:t>H</w:t>
      </w:r>
      <w:r w:rsidRPr="00CA1B52">
        <w:rPr>
          <w:color w:val="262626" w:themeColor="text1" w:themeTint="D9"/>
          <w:vertAlign w:val="subscript"/>
        </w:rPr>
        <w:t>a</w:t>
      </w:r>
      <w:r w:rsidRPr="00CA1B52">
        <w:rPr>
          <w:color w:val="262626" w:themeColor="text1" w:themeTint="D9"/>
        </w:rPr>
        <w:t xml:space="preserve">: </w:t>
      </w:r>
      <m:oMath>
        <m:sSub>
          <m:sSubPr>
            <m:ctrlPr>
              <w:rPr>
                <w:rFonts w:ascii="Cambria Math" w:hAnsi="Cambria Math"/>
                <w:i/>
                <w:color w:val="262626" w:themeColor="text1" w:themeTint="D9"/>
              </w:rPr>
            </m:ctrlPr>
          </m:sSubPr>
          <m:e>
            <m:r>
              <w:rPr>
                <w:rFonts w:ascii="Cambria Math" w:hAnsi="Cambria Math"/>
                <w:color w:val="262626" w:themeColor="text1" w:themeTint="D9"/>
              </w:rPr>
              <m:t>μ</m:t>
            </m:r>
          </m:e>
          <m:sub>
            <m:r>
              <w:rPr>
                <w:rFonts w:ascii="Cambria Math" w:hAnsi="Cambria Math"/>
                <w:color w:val="262626" w:themeColor="text1" w:themeTint="D9"/>
              </w:rPr>
              <m:t>1</m:t>
            </m:r>
          </m:sub>
        </m:sSub>
        <m:r>
          <w:rPr>
            <w:rFonts w:ascii="Cambria Math" w:hAnsi="Cambria Math"/>
            <w:color w:val="262626" w:themeColor="text1" w:themeTint="D9"/>
          </w:rPr>
          <m:t xml:space="preserve">≠ </m:t>
        </m:r>
        <m:sSub>
          <m:sSubPr>
            <m:ctrlPr>
              <w:rPr>
                <w:rFonts w:ascii="Cambria Math" w:hAnsi="Cambria Math"/>
                <w:i/>
                <w:color w:val="262626" w:themeColor="text1" w:themeTint="D9"/>
              </w:rPr>
            </m:ctrlPr>
          </m:sSubPr>
          <m:e>
            <m:r>
              <w:rPr>
                <w:rFonts w:ascii="Cambria Math" w:hAnsi="Cambria Math"/>
                <w:color w:val="262626" w:themeColor="text1" w:themeTint="D9"/>
              </w:rPr>
              <m:t>μ</m:t>
            </m:r>
          </m:e>
          <m:sub>
            <m:r>
              <w:rPr>
                <w:rFonts w:ascii="Cambria Math" w:hAnsi="Cambria Math"/>
                <w:color w:val="262626" w:themeColor="text1" w:themeTint="D9"/>
              </w:rPr>
              <m:t>2</m:t>
            </m:r>
          </m:sub>
        </m:sSub>
      </m:oMath>
    </w:p>
    <w:p w14:paraId="6D4A9756" w14:textId="77777777" w:rsidR="0015669F" w:rsidRPr="00177D75" w:rsidRDefault="0015669F" w:rsidP="0015669F">
      <w:pPr>
        <w:pStyle w:val="ListParagraph"/>
        <w:ind w:left="0"/>
        <w:jc w:val="both"/>
        <w:rPr>
          <w:color w:val="262626" w:themeColor="text1" w:themeTint="D9"/>
        </w:rPr>
      </w:pPr>
      <w:r w:rsidRPr="00177D75">
        <w:rPr>
          <w:color w:val="262626" w:themeColor="text1" w:themeTint="D9"/>
        </w:rPr>
        <w:t>Keterangan:</w:t>
      </w:r>
    </w:p>
    <w:p w14:paraId="619CB095" w14:textId="58B87F30" w:rsidR="0015669F" w:rsidRPr="00177D75" w:rsidRDefault="004065C2" w:rsidP="0015669F">
      <w:pPr>
        <w:pStyle w:val="ListParagraph"/>
        <w:tabs>
          <w:tab w:val="left" w:pos="142"/>
        </w:tabs>
        <w:ind w:left="0"/>
        <w:jc w:val="both"/>
        <w:rPr>
          <w:color w:val="262626" w:themeColor="text1" w:themeTint="D9"/>
        </w:rPr>
      </w:pPr>
      <m:oMath>
        <m:sSub>
          <m:sSubPr>
            <m:ctrlPr>
              <w:rPr>
                <w:rFonts w:ascii="Cambria Math" w:hAnsi="Cambria Math"/>
                <w:i/>
                <w:color w:val="262626" w:themeColor="text1" w:themeTint="D9"/>
              </w:rPr>
            </m:ctrlPr>
          </m:sSubPr>
          <m:e>
            <m:r>
              <w:rPr>
                <w:rFonts w:ascii="Cambria Math" w:hAnsi="Cambria Math"/>
                <w:color w:val="262626" w:themeColor="text1" w:themeTint="D9"/>
              </w:rPr>
              <m:t>μ</m:t>
            </m:r>
          </m:e>
          <m:sub>
            <m:r>
              <w:rPr>
                <w:rFonts w:ascii="Cambria Math" w:hAnsi="Cambria Math"/>
                <w:color w:val="262626" w:themeColor="text1" w:themeTint="D9"/>
              </w:rPr>
              <m:t>1</m:t>
            </m:r>
          </m:sub>
        </m:sSub>
      </m:oMath>
      <w:r w:rsidR="0015669F" w:rsidRPr="00177D75">
        <w:rPr>
          <w:color w:val="262626" w:themeColor="text1" w:themeTint="D9"/>
        </w:rPr>
        <w:t xml:space="preserve"> = </w:t>
      </w:r>
      <w:r w:rsidR="00CC4079" w:rsidRPr="00CC4079">
        <w:rPr>
          <w:color w:val="262626" w:themeColor="text1" w:themeTint="D9"/>
        </w:rPr>
        <w:t>mean of first group data</w:t>
      </w:r>
    </w:p>
    <w:p w14:paraId="532F2529" w14:textId="482D7878" w:rsidR="0015669F" w:rsidRDefault="004065C2" w:rsidP="00CC4079">
      <w:pPr>
        <w:pStyle w:val="ListParagraph"/>
        <w:tabs>
          <w:tab w:val="left" w:pos="142"/>
        </w:tabs>
        <w:ind w:left="0"/>
        <w:jc w:val="both"/>
        <w:rPr>
          <w:color w:val="262626" w:themeColor="text1" w:themeTint="D9"/>
        </w:rPr>
      </w:pPr>
      <m:oMath>
        <m:sSub>
          <m:sSubPr>
            <m:ctrlPr>
              <w:rPr>
                <w:rFonts w:ascii="Cambria Math" w:hAnsi="Cambria Math"/>
                <w:i/>
                <w:color w:val="262626" w:themeColor="text1" w:themeTint="D9"/>
              </w:rPr>
            </m:ctrlPr>
          </m:sSubPr>
          <m:e>
            <m:r>
              <w:rPr>
                <w:rFonts w:ascii="Cambria Math" w:hAnsi="Cambria Math"/>
                <w:color w:val="262626" w:themeColor="text1" w:themeTint="D9"/>
              </w:rPr>
              <m:t>μ</m:t>
            </m:r>
          </m:e>
          <m:sub>
            <m:r>
              <w:rPr>
                <w:rFonts w:ascii="Cambria Math" w:hAnsi="Cambria Math"/>
                <w:color w:val="262626" w:themeColor="text1" w:themeTint="D9"/>
              </w:rPr>
              <m:t>2</m:t>
            </m:r>
          </m:sub>
        </m:sSub>
      </m:oMath>
      <w:r w:rsidR="0015669F" w:rsidRPr="00177D75">
        <w:rPr>
          <w:color w:val="262626" w:themeColor="text1" w:themeTint="D9"/>
        </w:rPr>
        <w:t xml:space="preserve"> = </w:t>
      </w:r>
      <w:r w:rsidR="00CC4079" w:rsidRPr="00CC4079">
        <w:rPr>
          <w:color w:val="262626" w:themeColor="text1" w:themeTint="D9"/>
        </w:rPr>
        <w:t>average data of the second group</w:t>
      </w:r>
    </w:p>
    <w:p w14:paraId="50695A00" w14:textId="77777777" w:rsidR="00CC4079" w:rsidRPr="006F5FBE" w:rsidRDefault="00CC4079" w:rsidP="00CC4079">
      <w:pPr>
        <w:pStyle w:val="ListParagraph"/>
        <w:tabs>
          <w:tab w:val="left" w:pos="142"/>
        </w:tabs>
        <w:ind w:left="0"/>
        <w:jc w:val="both"/>
        <w:rPr>
          <w:color w:val="262626" w:themeColor="text1" w:themeTint="D9"/>
          <w:lang w:val="id-ID"/>
        </w:rPr>
      </w:pPr>
    </w:p>
    <w:p w14:paraId="14DD598A" w14:textId="77777777" w:rsidR="00CC4079" w:rsidRPr="00CC4079" w:rsidRDefault="00CC4079" w:rsidP="00CC4079">
      <w:pPr>
        <w:pStyle w:val="HTMLPreformatted"/>
        <w:rPr>
          <w:rFonts w:ascii="Times New Roman" w:hAnsi="Times New Roman" w:cs="Times New Roman"/>
          <w:color w:val="202124"/>
          <w:sz w:val="24"/>
          <w:szCs w:val="24"/>
        </w:rPr>
      </w:pPr>
      <w:r w:rsidRPr="00CC4079">
        <w:rPr>
          <w:rStyle w:val="y2iqfc"/>
          <w:rFonts w:ascii="Times New Roman" w:hAnsi="Times New Roman" w:cs="Times New Roman"/>
          <w:color w:val="202124"/>
          <w:sz w:val="24"/>
          <w:szCs w:val="24"/>
          <w:lang w:val="en"/>
        </w:rPr>
        <w:t>The hypotheses to be tested are:</w:t>
      </w:r>
    </w:p>
    <w:p w14:paraId="0649B858" w14:textId="77777777" w:rsidR="00CC4079" w:rsidRPr="00CC4079" w:rsidRDefault="0015669F" w:rsidP="00476835">
      <w:pPr>
        <w:pStyle w:val="ListParagraph"/>
        <w:numPr>
          <w:ilvl w:val="1"/>
          <w:numId w:val="4"/>
        </w:numPr>
        <w:tabs>
          <w:tab w:val="left" w:pos="567"/>
        </w:tabs>
        <w:spacing w:after="160"/>
        <w:ind w:left="567" w:hanging="567"/>
        <w:jc w:val="both"/>
        <w:rPr>
          <w:rFonts w:ascii="Times-Roman" w:hAnsi="Times-Roman"/>
          <w:bCs/>
          <w:color w:val="262626" w:themeColor="text1" w:themeTint="D9"/>
        </w:rPr>
      </w:pPr>
      <w:r w:rsidRPr="00CC4079">
        <w:rPr>
          <w:color w:val="262626" w:themeColor="text1" w:themeTint="D9"/>
        </w:rPr>
        <w:t>H</w:t>
      </w:r>
      <w:r w:rsidRPr="00CC4079">
        <w:rPr>
          <w:color w:val="262626" w:themeColor="text1" w:themeTint="D9"/>
          <w:vertAlign w:val="subscript"/>
        </w:rPr>
        <w:t>0</w:t>
      </w:r>
      <w:r w:rsidRPr="00CC4079">
        <w:rPr>
          <w:color w:val="262626" w:themeColor="text1" w:themeTint="D9"/>
        </w:rPr>
        <w:t xml:space="preserve">: </w:t>
      </w:r>
      <m:oMath>
        <m:r>
          <w:rPr>
            <w:rFonts w:ascii="Cambria Math" w:hAnsi="Cambria Math"/>
            <w:color w:val="262626" w:themeColor="text1" w:themeTint="D9"/>
          </w:rPr>
          <m:t>μ</m:t>
        </m:r>
      </m:oMath>
      <w:r w:rsidRPr="00CC4079">
        <w:rPr>
          <w:color w:val="262626" w:themeColor="text1" w:themeTint="D9"/>
        </w:rPr>
        <w:t>1</w:t>
      </w:r>
      <m:oMath>
        <m:r>
          <w:rPr>
            <w:rFonts w:ascii="Cambria Math" w:hAnsi="Cambria Math"/>
            <w:color w:val="262626" w:themeColor="text1" w:themeTint="D9"/>
          </w:rPr>
          <m:t>=μ</m:t>
        </m:r>
      </m:oMath>
      <w:r w:rsidRPr="00CC4079">
        <w:rPr>
          <w:color w:val="262626" w:themeColor="text1" w:themeTint="D9"/>
        </w:rPr>
        <w:t xml:space="preserve">2: </w:t>
      </w:r>
      <w:r w:rsidR="00CC4079" w:rsidRPr="00CC4079">
        <w:rPr>
          <w:color w:val="262626" w:themeColor="text1" w:themeTint="D9"/>
        </w:rPr>
        <w:t>There is no comparison of the learning outcomes of students who use the TGT learning model equipped with question card media with students who use the STAD type equipped with question card media on chemical bonding material.</w:t>
      </w:r>
    </w:p>
    <w:p w14:paraId="21555D40" w14:textId="1CAA5AA9" w:rsidR="00CC4079" w:rsidRPr="00CC4079" w:rsidRDefault="0015669F" w:rsidP="00CC4079">
      <w:pPr>
        <w:pStyle w:val="ListParagraph"/>
        <w:numPr>
          <w:ilvl w:val="1"/>
          <w:numId w:val="4"/>
        </w:numPr>
        <w:tabs>
          <w:tab w:val="left" w:pos="567"/>
        </w:tabs>
        <w:spacing w:after="160"/>
        <w:ind w:left="567" w:hanging="567"/>
        <w:jc w:val="both"/>
        <w:rPr>
          <w:rFonts w:eastAsiaTheme="minorEastAsia"/>
          <w:color w:val="262626" w:themeColor="text1" w:themeTint="D9"/>
        </w:rPr>
      </w:pPr>
      <w:r w:rsidRPr="00CC4079">
        <w:rPr>
          <w:color w:val="262626" w:themeColor="text1" w:themeTint="D9"/>
        </w:rPr>
        <w:t>H</w:t>
      </w:r>
      <w:r w:rsidRPr="00CC4079">
        <w:rPr>
          <w:color w:val="262626" w:themeColor="text1" w:themeTint="D9"/>
          <w:vertAlign w:val="subscript"/>
        </w:rPr>
        <w:t>a</w:t>
      </w:r>
      <w:r w:rsidRPr="00CC4079">
        <w:rPr>
          <w:color w:val="262626" w:themeColor="text1" w:themeTint="D9"/>
        </w:rPr>
        <w:t xml:space="preserve">: </w:t>
      </w:r>
      <m:oMath>
        <m:r>
          <w:rPr>
            <w:rFonts w:ascii="Cambria Math" w:hAnsi="Cambria Math"/>
            <w:color w:val="262626" w:themeColor="text1" w:themeTint="D9"/>
          </w:rPr>
          <m:t>μ</m:t>
        </m:r>
      </m:oMath>
      <w:r w:rsidRPr="00CC4079">
        <w:rPr>
          <w:color w:val="262626" w:themeColor="text1" w:themeTint="D9"/>
        </w:rPr>
        <w:t>1</w:t>
      </w:r>
      <m:oMath>
        <m:r>
          <w:rPr>
            <w:rFonts w:ascii="Cambria Math" w:hAnsi="Cambria Math"/>
            <w:color w:val="262626" w:themeColor="text1" w:themeTint="D9"/>
          </w:rPr>
          <m:t>≠μ</m:t>
        </m:r>
      </m:oMath>
      <w:r w:rsidRPr="00CC4079">
        <w:rPr>
          <w:color w:val="262626" w:themeColor="text1" w:themeTint="D9"/>
        </w:rPr>
        <w:t>2:</w:t>
      </w:r>
      <w:r w:rsidRPr="00CC4079">
        <w:rPr>
          <w:rStyle w:val="fontstyle01"/>
          <w:bCs/>
          <w:color w:val="262626" w:themeColor="text1" w:themeTint="D9"/>
        </w:rPr>
        <w:t xml:space="preserve"> </w:t>
      </w:r>
      <w:r w:rsidR="00CC4079" w:rsidRPr="00CC4079">
        <w:rPr>
          <w:rStyle w:val="fontstyle01"/>
          <w:bCs/>
          <w:color w:val="262626" w:themeColor="text1" w:themeTint="D9"/>
        </w:rPr>
        <w:t>There is a comparison of the learning outcomes of students who use the TGT learning model equipped with question card media with students who use the STAD type equipped with question card media on chemical bonding material.</w:t>
      </w:r>
    </w:p>
    <w:p w14:paraId="762B5196" w14:textId="267A64B0" w:rsidR="0015669F" w:rsidRPr="00CC4079" w:rsidRDefault="00CC4079" w:rsidP="00CC4079">
      <w:pPr>
        <w:pStyle w:val="HTMLPreformatted"/>
        <w:rPr>
          <w:rFonts w:ascii="Times New Roman" w:hAnsi="Times New Roman" w:cs="Times New Roman"/>
          <w:color w:val="202124"/>
          <w:sz w:val="24"/>
          <w:szCs w:val="24"/>
        </w:rPr>
      </w:pPr>
      <w:r w:rsidRPr="00CC4079">
        <w:rPr>
          <w:rFonts w:ascii="Times New Roman" w:eastAsiaTheme="minorEastAsia" w:hAnsi="Times New Roman" w:cs="Times New Roman"/>
          <w:color w:val="262626" w:themeColor="text1" w:themeTint="D9"/>
          <w:sz w:val="24"/>
          <w:szCs w:val="24"/>
        </w:rPr>
        <w:tab/>
      </w:r>
      <w:r w:rsidRPr="00CC4079">
        <w:rPr>
          <w:rStyle w:val="y2iqfc"/>
          <w:rFonts w:ascii="Times New Roman" w:hAnsi="Times New Roman" w:cs="Times New Roman"/>
          <w:color w:val="202124"/>
          <w:sz w:val="24"/>
          <w:szCs w:val="24"/>
          <w:lang w:val="en"/>
        </w:rPr>
        <w:t>To test the hypothesis, the processed output of SPSS 17.0 for windows is used.</w:t>
      </w:r>
    </w:p>
    <w:p w14:paraId="7D290EEC" w14:textId="6A4F80AD" w:rsidR="00CC4079" w:rsidRPr="00CC4079" w:rsidRDefault="00CC4079" w:rsidP="00CC4079">
      <w:pPr>
        <w:pStyle w:val="HTMLPreformatted"/>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1) </w:t>
      </w:r>
      <w:r w:rsidRPr="00CC4079">
        <w:rPr>
          <w:rStyle w:val="y2iqfc"/>
          <w:rFonts w:ascii="Times New Roman" w:hAnsi="Times New Roman" w:cs="Times New Roman"/>
          <w:color w:val="202124"/>
          <w:sz w:val="24"/>
          <w:szCs w:val="24"/>
          <w:lang w:val="en"/>
        </w:rPr>
        <w:t>Testing Criteria:</w:t>
      </w:r>
    </w:p>
    <w:p w14:paraId="2B2E6840" w14:textId="77777777" w:rsidR="00CC4079" w:rsidRPr="00CC4079" w:rsidRDefault="00CC4079" w:rsidP="00CC4079">
      <w:pPr>
        <w:pStyle w:val="HTMLPreformatted"/>
        <w:rPr>
          <w:rStyle w:val="y2iqfc"/>
          <w:rFonts w:ascii="Times New Roman" w:hAnsi="Times New Roman" w:cs="Times New Roman"/>
          <w:color w:val="202124"/>
          <w:sz w:val="24"/>
          <w:szCs w:val="24"/>
          <w:lang w:val="en"/>
        </w:rPr>
      </w:pPr>
      <w:r w:rsidRPr="00CC4079">
        <w:rPr>
          <w:rStyle w:val="y2iqfc"/>
          <w:rFonts w:ascii="Times New Roman" w:hAnsi="Times New Roman" w:cs="Times New Roman"/>
          <w:color w:val="202124"/>
          <w:sz w:val="24"/>
          <w:szCs w:val="24"/>
          <w:lang w:val="en"/>
        </w:rPr>
        <w:t>1) Using the coefficient Sig. under the condition:</w:t>
      </w:r>
    </w:p>
    <w:p w14:paraId="2E62241C" w14:textId="77777777" w:rsidR="00CC4079" w:rsidRPr="00CC4079" w:rsidRDefault="00CC4079" w:rsidP="00CC4079">
      <w:pPr>
        <w:pStyle w:val="HTMLPreformatted"/>
        <w:rPr>
          <w:rStyle w:val="y2iqfc"/>
          <w:rFonts w:ascii="Times New Roman" w:hAnsi="Times New Roman" w:cs="Times New Roman"/>
          <w:color w:val="202124"/>
          <w:sz w:val="24"/>
          <w:szCs w:val="24"/>
          <w:lang w:val="en"/>
        </w:rPr>
      </w:pPr>
      <w:r w:rsidRPr="00CC4079">
        <w:rPr>
          <w:rStyle w:val="y2iqfc"/>
          <w:rFonts w:ascii="Times New Roman" w:hAnsi="Times New Roman" w:cs="Times New Roman"/>
          <w:color w:val="202124"/>
          <w:sz w:val="24"/>
          <w:szCs w:val="24"/>
          <w:lang w:val="en"/>
        </w:rPr>
        <w:t>a. If sig. Calculate (probability) &lt; 0.05 then reject H0</w:t>
      </w:r>
    </w:p>
    <w:p w14:paraId="06101D3E" w14:textId="77777777" w:rsidR="00CC4079" w:rsidRPr="00CC4079" w:rsidRDefault="00CC4079" w:rsidP="00CC4079">
      <w:pPr>
        <w:pStyle w:val="HTMLPreformatted"/>
        <w:rPr>
          <w:rStyle w:val="y2iqfc"/>
          <w:rFonts w:ascii="Times New Roman" w:hAnsi="Times New Roman" w:cs="Times New Roman"/>
          <w:color w:val="202124"/>
          <w:sz w:val="24"/>
          <w:szCs w:val="24"/>
          <w:lang w:val="en"/>
        </w:rPr>
      </w:pPr>
      <w:r w:rsidRPr="00CC4079">
        <w:rPr>
          <w:rStyle w:val="y2iqfc"/>
          <w:rFonts w:ascii="Times New Roman" w:hAnsi="Times New Roman" w:cs="Times New Roman"/>
          <w:color w:val="202124"/>
          <w:sz w:val="24"/>
          <w:szCs w:val="24"/>
          <w:lang w:val="en"/>
        </w:rPr>
        <w:t>b. If sig. Count (probability) &gt; 0.05 then accept H0 (Wahyudi, 2015:34)</w:t>
      </w:r>
    </w:p>
    <w:p w14:paraId="333E898C" w14:textId="77777777" w:rsidR="00CC4079" w:rsidRPr="00CC4079" w:rsidRDefault="00CC4079" w:rsidP="00CC4079">
      <w:pPr>
        <w:pStyle w:val="HTMLPreformatted"/>
        <w:rPr>
          <w:rStyle w:val="y2iqfc"/>
          <w:rFonts w:ascii="Times New Roman" w:hAnsi="Times New Roman" w:cs="Times New Roman"/>
          <w:color w:val="202124"/>
          <w:sz w:val="24"/>
          <w:szCs w:val="24"/>
          <w:lang w:val="en"/>
        </w:rPr>
      </w:pPr>
    </w:p>
    <w:p w14:paraId="012F9847" w14:textId="77777777" w:rsidR="00CC4079" w:rsidRPr="00CC4079" w:rsidRDefault="00CC4079" w:rsidP="00CC4079">
      <w:pPr>
        <w:pStyle w:val="HTMLPreformatted"/>
        <w:rPr>
          <w:rStyle w:val="y2iqfc"/>
          <w:rFonts w:ascii="Times New Roman" w:hAnsi="Times New Roman" w:cs="Times New Roman"/>
          <w:color w:val="202124"/>
          <w:sz w:val="24"/>
          <w:szCs w:val="24"/>
          <w:lang w:val="en"/>
        </w:rPr>
      </w:pPr>
      <w:r w:rsidRPr="00CC4079">
        <w:rPr>
          <w:rStyle w:val="y2iqfc"/>
          <w:rFonts w:ascii="Times New Roman" w:hAnsi="Times New Roman" w:cs="Times New Roman"/>
          <w:color w:val="202124"/>
          <w:sz w:val="24"/>
          <w:szCs w:val="24"/>
          <w:lang w:val="en"/>
        </w:rPr>
        <w:t>2) Using the t-calculated coefficient, provided that:</w:t>
      </w:r>
    </w:p>
    <w:p w14:paraId="19F19C29" w14:textId="77777777" w:rsidR="00CC4079" w:rsidRPr="00CC4079" w:rsidRDefault="00CC4079" w:rsidP="00CC4079">
      <w:pPr>
        <w:pStyle w:val="HTMLPreformatted"/>
        <w:rPr>
          <w:rStyle w:val="y2iqfc"/>
          <w:rFonts w:ascii="Times New Roman" w:hAnsi="Times New Roman" w:cs="Times New Roman"/>
          <w:color w:val="202124"/>
          <w:sz w:val="24"/>
          <w:szCs w:val="24"/>
          <w:lang w:val="en"/>
        </w:rPr>
      </w:pPr>
      <w:r w:rsidRPr="00CC4079">
        <w:rPr>
          <w:rStyle w:val="y2iqfc"/>
          <w:rFonts w:ascii="Times New Roman" w:hAnsi="Times New Roman" w:cs="Times New Roman"/>
          <w:color w:val="202124"/>
          <w:sz w:val="24"/>
          <w:szCs w:val="24"/>
          <w:lang w:val="en"/>
        </w:rPr>
        <w:t>a. If the coefficient t count &gt; t table then reject H0</w:t>
      </w:r>
    </w:p>
    <w:p w14:paraId="6500857E" w14:textId="77777777" w:rsidR="00CC4079" w:rsidRPr="00CC4079" w:rsidRDefault="00CC4079" w:rsidP="00CC4079">
      <w:pPr>
        <w:pStyle w:val="HTMLPreformatted"/>
        <w:rPr>
          <w:rFonts w:ascii="Times New Roman" w:hAnsi="Times New Roman" w:cs="Times New Roman"/>
          <w:color w:val="202124"/>
          <w:sz w:val="24"/>
          <w:szCs w:val="24"/>
        </w:rPr>
      </w:pPr>
      <w:r w:rsidRPr="00CC4079">
        <w:rPr>
          <w:rStyle w:val="y2iqfc"/>
          <w:rFonts w:ascii="Times New Roman" w:hAnsi="Times New Roman" w:cs="Times New Roman"/>
          <w:color w:val="202124"/>
          <w:sz w:val="24"/>
          <w:szCs w:val="24"/>
          <w:lang w:val="en"/>
        </w:rPr>
        <w:t>b. If the coefficient t count &lt; t table then accept H0 (Wahyudi, 2015:34)</w:t>
      </w:r>
    </w:p>
    <w:p w14:paraId="16ABD5D3" w14:textId="10E33B85" w:rsidR="0015669F" w:rsidRDefault="0015669F" w:rsidP="0015669F">
      <w:pPr>
        <w:tabs>
          <w:tab w:val="left" w:pos="284"/>
          <w:tab w:val="left" w:pos="851"/>
        </w:tabs>
        <w:spacing w:after="160"/>
        <w:jc w:val="both"/>
        <w:rPr>
          <w:color w:val="262626" w:themeColor="text1" w:themeTint="D9"/>
        </w:rPr>
      </w:pPr>
    </w:p>
    <w:p w14:paraId="37B5C1C1" w14:textId="00ED679A" w:rsidR="0015669F" w:rsidRDefault="00CC4079" w:rsidP="0015669F">
      <w:pPr>
        <w:tabs>
          <w:tab w:val="left" w:pos="567"/>
        </w:tabs>
        <w:jc w:val="both"/>
        <w:rPr>
          <w:color w:val="262626" w:themeColor="text1" w:themeTint="D9"/>
          <w:lang w:val="en-GB" w:eastAsia="en-GB"/>
        </w:rPr>
      </w:pPr>
      <w:r w:rsidRPr="00CC4079">
        <w:rPr>
          <w:color w:val="262626" w:themeColor="text1" w:themeTint="D9"/>
          <w:lang w:val="en-GB" w:eastAsia="en-GB"/>
        </w:rPr>
        <w:t>The results of the calculation of the hypothesis test using the Independent Sample Test. Independent t-test is a parametric statistical test method used to analyze the comparison of two unpaired samples (Apriyono, 2013: 82). The t-test Independent Sample Test is carried out if the data obtained are normally distributed and if the data obtained are not normally distributed, then the t-test can be performed using the Man Whitney test.</w:t>
      </w:r>
    </w:p>
    <w:p w14:paraId="2EAC2529" w14:textId="1D1A6D4C" w:rsidR="00CC4079" w:rsidRDefault="00CC4079" w:rsidP="0015669F">
      <w:pPr>
        <w:tabs>
          <w:tab w:val="left" w:pos="567"/>
        </w:tabs>
        <w:jc w:val="both"/>
        <w:rPr>
          <w:color w:val="262626" w:themeColor="text1" w:themeTint="D9"/>
          <w:lang w:val="en-GB" w:eastAsia="en-GB"/>
        </w:rPr>
      </w:pPr>
    </w:p>
    <w:p w14:paraId="19DFCE2C" w14:textId="77777777" w:rsidR="00CC4079" w:rsidRPr="009B2FF5" w:rsidRDefault="00CC4079" w:rsidP="0015669F">
      <w:pPr>
        <w:tabs>
          <w:tab w:val="left" w:pos="567"/>
        </w:tabs>
        <w:jc w:val="both"/>
        <w:rPr>
          <w:color w:val="262626" w:themeColor="text1" w:themeTint="D9"/>
        </w:rPr>
      </w:pPr>
    </w:p>
    <w:p w14:paraId="2BD69B8B" w14:textId="77777777" w:rsidR="00CC4079" w:rsidRPr="00CC4079" w:rsidRDefault="00CC4079" w:rsidP="00CC4079">
      <w:pPr>
        <w:pStyle w:val="HTMLPreformatted"/>
        <w:rPr>
          <w:rFonts w:ascii="Times New Roman" w:hAnsi="Times New Roman" w:cs="Times New Roman"/>
          <w:color w:val="202124"/>
          <w:sz w:val="24"/>
          <w:szCs w:val="24"/>
        </w:rPr>
      </w:pPr>
      <w:r w:rsidRPr="00CC4079">
        <w:rPr>
          <w:rStyle w:val="y2iqfc"/>
          <w:rFonts w:ascii="Times New Roman" w:hAnsi="Times New Roman" w:cs="Times New Roman"/>
          <w:color w:val="202124"/>
          <w:sz w:val="24"/>
          <w:szCs w:val="24"/>
          <w:lang w:val="en"/>
        </w:rPr>
        <w:lastRenderedPageBreak/>
        <w:t>RESULTS AND DISCUSSION</w:t>
      </w:r>
    </w:p>
    <w:p w14:paraId="198853E9" w14:textId="77777777" w:rsidR="0015669F" w:rsidRPr="00BE06C5" w:rsidRDefault="0015669F" w:rsidP="0015669F">
      <w:pPr>
        <w:pStyle w:val="ListParagraph"/>
        <w:ind w:left="426"/>
        <w:rPr>
          <w:b/>
          <w:color w:val="262626" w:themeColor="text1" w:themeTint="D9"/>
        </w:rPr>
      </w:pPr>
    </w:p>
    <w:p w14:paraId="2FEA2872" w14:textId="77777777" w:rsidR="00CC4079" w:rsidRPr="00CC4079" w:rsidRDefault="00CC4079" w:rsidP="00CC4079">
      <w:pPr>
        <w:jc w:val="both"/>
        <w:rPr>
          <w:bCs/>
          <w:color w:val="262626" w:themeColor="text1" w:themeTint="D9"/>
          <w:lang w:val="en-US"/>
        </w:rPr>
      </w:pPr>
      <w:r w:rsidRPr="00CC4079">
        <w:rPr>
          <w:bCs/>
          <w:color w:val="262626" w:themeColor="text1" w:themeTint="D9"/>
          <w:lang w:val="en-US"/>
        </w:rPr>
        <w:t>The results and discussion of this research are described as follows:</w:t>
      </w:r>
    </w:p>
    <w:p w14:paraId="1E6A72E3" w14:textId="4AA576CF" w:rsidR="0015669F" w:rsidRDefault="00CC4079" w:rsidP="00CC4079">
      <w:pPr>
        <w:pStyle w:val="ListParagraph"/>
        <w:numPr>
          <w:ilvl w:val="0"/>
          <w:numId w:val="10"/>
        </w:numPr>
        <w:ind w:left="426" w:hanging="426"/>
        <w:jc w:val="both"/>
        <w:rPr>
          <w:bCs/>
          <w:color w:val="262626" w:themeColor="text1" w:themeTint="D9"/>
          <w:lang w:val="en-US" w:eastAsia="en-ID"/>
        </w:rPr>
      </w:pPr>
      <w:r w:rsidRPr="00CC4079">
        <w:rPr>
          <w:bCs/>
          <w:color w:val="262626" w:themeColor="text1" w:themeTint="D9"/>
          <w:lang w:val="en-US" w:eastAsia="en-ID"/>
        </w:rPr>
        <w:t>Comparison of Pretest-Posttest Average Values ​​on Cognitive Learning Outcomes Based on the results of the pretest and posttest of the two experimental groups, data can be obtained as shown in Table 3.</w:t>
      </w:r>
    </w:p>
    <w:p w14:paraId="7D5540D7" w14:textId="77777777" w:rsidR="00CC4079" w:rsidRPr="00177D75" w:rsidRDefault="00CC4079" w:rsidP="00CC4079">
      <w:pPr>
        <w:pStyle w:val="ListParagraph"/>
        <w:jc w:val="both"/>
        <w:rPr>
          <w:lang w:val="id-ID"/>
        </w:rPr>
      </w:pPr>
    </w:p>
    <w:p w14:paraId="4C0C4DE3" w14:textId="77777777" w:rsidR="00CC4079" w:rsidRPr="00CC4079" w:rsidRDefault="00CC4079" w:rsidP="00CC4079">
      <w:pPr>
        <w:pStyle w:val="HTMLPreformatted"/>
        <w:rPr>
          <w:rFonts w:ascii="Times New Roman" w:hAnsi="Times New Roman" w:cs="Times New Roman"/>
          <w:color w:val="202124"/>
          <w:sz w:val="24"/>
          <w:szCs w:val="24"/>
        </w:rPr>
      </w:pPr>
      <w:r w:rsidRPr="00CC4079">
        <w:rPr>
          <w:rStyle w:val="y2iqfc"/>
          <w:rFonts w:ascii="Times New Roman" w:hAnsi="Times New Roman" w:cs="Times New Roman"/>
          <w:color w:val="202124"/>
          <w:sz w:val="24"/>
          <w:szCs w:val="24"/>
          <w:lang w:val="en"/>
        </w:rPr>
        <w:t>Table 3. Learning Outcome Data</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608"/>
        <w:gridCol w:w="1105"/>
        <w:gridCol w:w="1224"/>
        <w:gridCol w:w="2072"/>
        <w:gridCol w:w="2388"/>
      </w:tblGrid>
      <w:tr w:rsidR="0015669F" w:rsidRPr="004902A1" w14:paraId="65FCA0C2" w14:textId="77777777" w:rsidTr="004902A1">
        <w:tc>
          <w:tcPr>
            <w:tcW w:w="1656" w:type="dxa"/>
            <w:vMerge w:val="restart"/>
            <w:tcBorders>
              <w:top w:val="single" w:sz="4" w:space="0" w:color="auto"/>
              <w:bottom w:val="nil"/>
            </w:tcBorders>
            <w:shd w:val="clear" w:color="auto" w:fill="auto"/>
            <w:vAlign w:val="center"/>
          </w:tcPr>
          <w:p w14:paraId="3D13974A" w14:textId="77777777" w:rsidR="00CC4079" w:rsidRPr="004902A1" w:rsidRDefault="00CC4079" w:rsidP="004902A1">
            <w:pPr>
              <w:pStyle w:val="HTMLPreformatted"/>
              <w:shd w:val="clear" w:color="auto" w:fill="F8F9FA"/>
              <w:rPr>
                <w:rFonts w:ascii="Times New Roman" w:hAnsi="Times New Roman" w:cs="Times New Roman"/>
                <w:color w:val="202124"/>
                <w:sz w:val="24"/>
                <w:szCs w:val="24"/>
              </w:rPr>
            </w:pPr>
            <w:r w:rsidRPr="004902A1">
              <w:rPr>
                <w:rStyle w:val="y2iqfc"/>
                <w:rFonts w:ascii="Times New Roman" w:hAnsi="Times New Roman" w:cs="Times New Roman"/>
                <w:color w:val="202124"/>
                <w:sz w:val="24"/>
                <w:szCs w:val="24"/>
                <w:lang w:val="en"/>
              </w:rPr>
              <w:t>Learning model</w:t>
            </w:r>
          </w:p>
          <w:p w14:paraId="743E3C1C" w14:textId="002596B7" w:rsidR="0015669F" w:rsidRPr="004902A1" w:rsidRDefault="0015669F" w:rsidP="004902A1">
            <w:pPr>
              <w:pStyle w:val="ListParagraph"/>
              <w:ind w:left="0"/>
              <w:jc w:val="center"/>
            </w:pPr>
          </w:p>
        </w:tc>
        <w:tc>
          <w:tcPr>
            <w:tcW w:w="2366" w:type="dxa"/>
            <w:gridSpan w:val="2"/>
            <w:tcBorders>
              <w:top w:val="single" w:sz="4" w:space="0" w:color="auto"/>
              <w:bottom w:val="nil"/>
            </w:tcBorders>
            <w:shd w:val="clear" w:color="auto" w:fill="auto"/>
            <w:vAlign w:val="center"/>
          </w:tcPr>
          <w:p w14:paraId="74652D0F" w14:textId="77777777" w:rsidR="004902A1" w:rsidRPr="004902A1" w:rsidRDefault="004902A1" w:rsidP="004902A1">
            <w:pPr>
              <w:pStyle w:val="HTMLPreformatted"/>
              <w:shd w:val="clear" w:color="auto" w:fill="F8F9FA"/>
              <w:rPr>
                <w:rFonts w:ascii="Times New Roman" w:hAnsi="Times New Roman" w:cs="Times New Roman"/>
                <w:color w:val="202124"/>
                <w:sz w:val="24"/>
                <w:szCs w:val="24"/>
              </w:rPr>
            </w:pPr>
            <w:r w:rsidRPr="004902A1">
              <w:rPr>
                <w:rStyle w:val="y2iqfc"/>
                <w:rFonts w:ascii="Times New Roman" w:hAnsi="Times New Roman" w:cs="Times New Roman"/>
                <w:color w:val="202124"/>
                <w:sz w:val="24"/>
                <w:szCs w:val="24"/>
                <w:lang w:val="en"/>
              </w:rPr>
              <w:t>Average</w:t>
            </w:r>
          </w:p>
          <w:p w14:paraId="1294FF93" w14:textId="27FB7285" w:rsidR="0015669F" w:rsidRPr="004902A1" w:rsidRDefault="0015669F" w:rsidP="004902A1">
            <w:pPr>
              <w:pStyle w:val="ListParagraph"/>
              <w:ind w:left="0"/>
              <w:jc w:val="center"/>
            </w:pPr>
          </w:p>
        </w:tc>
        <w:tc>
          <w:tcPr>
            <w:tcW w:w="2147" w:type="dxa"/>
            <w:vMerge w:val="restart"/>
            <w:tcBorders>
              <w:top w:val="single" w:sz="4" w:space="0" w:color="auto"/>
              <w:bottom w:val="nil"/>
            </w:tcBorders>
            <w:shd w:val="clear" w:color="auto" w:fill="auto"/>
            <w:vAlign w:val="center"/>
          </w:tcPr>
          <w:p w14:paraId="0506CBD5" w14:textId="77777777" w:rsidR="004902A1" w:rsidRPr="004902A1" w:rsidRDefault="004902A1" w:rsidP="004902A1">
            <w:pPr>
              <w:pStyle w:val="HTMLPreformatted"/>
              <w:shd w:val="clear" w:color="auto" w:fill="F8F9FA"/>
              <w:rPr>
                <w:rFonts w:ascii="Times New Roman" w:hAnsi="Times New Roman" w:cs="Times New Roman"/>
                <w:color w:val="202124"/>
                <w:sz w:val="24"/>
                <w:szCs w:val="24"/>
              </w:rPr>
            </w:pPr>
            <w:r w:rsidRPr="004902A1">
              <w:rPr>
                <w:rStyle w:val="y2iqfc"/>
                <w:rFonts w:ascii="Times New Roman" w:hAnsi="Times New Roman" w:cs="Times New Roman"/>
                <w:color w:val="202124"/>
                <w:sz w:val="24"/>
                <w:szCs w:val="24"/>
                <w:lang w:val="en"/>
              </w:rPr>
              <w:t>Difference</w:t>
            </w:r>
          </w:p>
          <w:p w14:paraId="791D788D" w14:textId="2BB97694" w:rsidR="0015669F" w:rsidRPr="004902A1" w:rsidRDefault="0015669F" w:rsidP="004902A1">
            <w:pPr>
              <w:pStyle w:val="ListParagraph"/>
              <w:ind w:left="0"/>
              <w:jc w:val="center"/>
            </w:pPr>
            <w:r w:rsidRPr="004902A1">
              <w:t xml:space="preserve"> pre-post test</w:t>
            </w:r>
          </w:p>
        </w:tc>
        <w:tc>
          <w:tcPr>
            <w:tcW w:w="2478" w:type="dxa"/>
            <w:vMerge w:val="restart"/>
            <w:tcBorders>
              <w:top w:val="single" w:sz="4" w:space="0" w:color="auto"/>
              <w:bottom w:val="nil"/>
            </w:tcBorders>
            <w:shd w:val="clear" w:color="auto" w:fill="auto"/>
            <w:vAlign w:val="center"/>
          </w:tcPr>
          <w:p w14:paraId="59D77BFD" w14:textId="77777777" w:rsidR="004902A1" w:rsidRPr="004902A1" w:rsidRDefault="004902A1" w:rsidP="004902A1">
            <w:pPr>
              <w:pStyle w:val="HTMLPreformatted"/>
              <w:shd w:val="clear" w:color="auto" w:fill="F8F9FA"/>
              <w:rPr>
                <w:rFonts w:ascii="Times New Roman" w:hAnsi="Times New Roman" w:cs="Times New Roman"/>
                <w:color w:val="202124"/>
                <w:sz w:val="24"/>
                <w:szCs w:val="24"/>
              </w:rPr>
            </w:pPr>
            <w:r w:rsidRPr="004902A1">
              <w:rPr>
                <w:rStyle w:val="y2iqfc"/>
                <w:rFonts w:ascii="Times New Roman" w:hAnsi="Times New Roman" w:cs="Times New Roman"/>
                <w:color w:val="202124"/>
                <w:sz w:val="24"/>
                <w:szCs w:val="24"/>
                <w:lang w:val="en"/>
              </w:rPr>
              <w:t>Value Comparison</w:t>
            </w:r>
          </w:p>
          <w:p w14:paraId="7AA6A45E" w14:textId="6BEF63E0" w:rsidR="0015669F" w:rsidRPr="004902A1" w:rsidRDefault="0015669F" w:rsidP="004902A1">
            <w:pPr>
              <w:pStyle w:val="ListParagraph"/>
              <w:ind w:left="0"/>
              <w:jc w:val="center"/>
            </w:pPr>
            <w:r w:rsidRPr="004902A1">
              <w:rPr>
                <w:iCs/>
              </w:rPr>
              <w:t xml:space="preserve">Posttest </w:t>
            </w:r>
            <w:r w:rsidRPr="004902A1">
              <w:t>TGT-STAD</w:t>
            </w:r>
          </w:p>
        </w:tc>
      </w:tr>
      <w:tr w:rsidR="0015669F" w:rsidRPr="00B27659" w14:paraId="62B0FA2B" w14:textId="77777777" w:rsidTr="009B09AE">
        <w:tc>
          <w:tcPr>
            <w:tcW w:w="1656" w:type="dxa"/>
            <w:vMerge/>
            <w:tcBorders>
              <w:top w:val="nil"/>
              <w:bottom w:val="single" w:sz="4" w:space="0" w:color="auto"/>
            </w:tcBorders>
            <w:shd w:val="clear" w:color="auto" w:fill="auto"/>
          </w:tcPr>
          <w:p w14:paraId="27B020FF" w14:textId="77777777" w:rsidR="0015669F" w:rsidRPr="00B27659" w:rsidRDefault="0015669F" w:rsidP="008A07A3">
            <w:pPr>
              <w:pStyle w:val="ListParagraph"/>
              <w:ind w:left="0"/>
              <w:jc w:val="both"/>
            </w:pPr>
          </w:p>
        </w:tc>
        <w:tc>
          <w:tcPr>
            <w:tcW w:w="1118" w:type="dxa"/>
            <w:tcBorders>
              <w:top w:val="nil"/>
              <w:bottom w:val="single" w:sz="4" w:space="0" w:color="auto"/>
            </w:tcBorders>
            <w:vAlign w:val="center"/>
          </w:tcPr>
          <w:p w14:paraId="2AEEAD68" w14:textId="77777777" w:rsidR="0015669F" w:rsidRPr="004902A1" w:rsidRDefault="0015669F" w:rsidP="008A07A3">
            <w:pPr>
              <w:pStyle w:val="ListParagraph"/>
              <w:ind w:left="0"/>
              <w:jc w:val="center"/>
              <w:rPr>
                <w:iCs/>
              </w:rPr>
            </w:pPr>
            <w:r w:rsidRPr="004902A1">
              <w:rPr>
                <w:iCs/>
              </w:rPr>
              <w:t>Pretest</w:t>
            </w:r>
          </w:p>
        </w:tc>
        <w:tc>
          <w:tcPr>
            <w:tcW w:w="1248" w:type="dxa"/>
            <w:tcBorders>
              <w:top w:val="nil"/>
              <w:bottom w:val="single" w:sz="4" w:space="0" w:color="auto"/>
            </w:tcBorders>
            <w:vAlign w:val="center"/>
          </w:tcPr>
          <w:p w14:paraId="217F2F4C" w14:textId="77777777" w:rsidR="0015669F" w:rsidRPr="004902A1" w:rsidRDefault="0015669F" w:rsidP="008A07A3">
            <w:pPr>
              <w:pStyle w:val="ListParagraph"/>
              <w:ind w:left="0"/>
              <w:jc w:val="center"/>
              <w:rPr>
                <w:iCs/>
              </w:rPr>
            </w:pPr>
            <w:r w:rsidRPr="004902A1">
              <w:rPr>
                <w:iCs/>
              </w:rPr>
              <w:t>Posttest</w:t>
            </w:r>
          </w:p>
        </w:tc>
        <w:tc>
          <w:tcPr>
            <w:tcW w:w="2147" w:type="dxa"/>
            <w:vMerge/>
            <w:tcBorders>
              <w:top w:val="nil"/>
              <w:bottom w:val="single" w:sz="4" w:space="0" w:color="auto"/>
            </w:tcBorders>
          </w:tcPr>
          <w:p w14:paraId="27463926" w14:textId="77777777" w:rsidR="0015669F" w:rsidRPr="00B27659" w:rsidRDefault="0015669F" w:rsidP="008A07A3">
            <w:pPr>
              <w:pStyle w:val="ListParagraph"/>
              <w:ind w:left="0"/>
              <w:jc w:val="both"/>
            </w:pPr>
          </w:p>
        </w:tc>
        <w:tc>
          <w:tcPr>
            <w:tcW w:w="2478" w:type="dxa"/>
            <w:vMerge/>
            <w:tcBorders>
              <w:top w:val="nil"/>
              <w:bottom w:val="single" w:sz="4" w:space="0" w:color="auto"/>
            </w:tcBorders>
          </w:tcPr>
          <w:p w14:paraId="4C0B25AB" w14:textId="77777777" w:rsidR="0015669F" w:rsidRPr="00B27659" w:rsidRDefault="0015669F" w:rsidP="008A07A3">
            <w:pPr>
              <w:pStyle w:val="ListParagraph"/>
              <w:ind w:left="0"/>
              <w:jc w:val="both"/>
            </w:pPr>
          </w:p>
        </w:tc>
      </w:tr>
      <w:tr w:rsidR="0015669F" w:rsidRPr="00177D75" w14:paraId="2F8AA384" w14:textId="77777777" w:rsidTr="008A07A3">
        <w:tc>
          <w:tcPr>
            <w:tcW w:w="1656" w:type="dxa"/>
            <w:tcBorders>
              <w:top w:val="single" w:sz="4" w:space="0" w:color="auto"/>
            </w:tcBorders>
          </w:tcPr>
          <w:p w14:paraId="3A7A36C9" w14:textId="77777777" w:rsidR="0015669F" w:rsidRPr="00177D75" w:rsidRDefault="0015669F" w:rsidP="008A07A3">
            <w:pPr>
              <w:pStyle w:val="ListParagraph"/>
              <w:ind w:left="0"/>
              <w:jc w:val="center"/>
            </w:pPr>
            <w:r w:rsidRPr="00177D75">
              <w:t>TGT</w:t>
            </w:r>
          </w:p>
        </w:tc>
        <w:tc>
          <w:tcPr>
            <w:tcW w:w="1118" w:type="dxa"/>
            <w:tcBorders>
              <w:top w:val="single" w:sz="4" w:space="0" w:color="auto"/>
            </w:tcBorders>
          </w:tcPr>
          <w:p w14:paraId="7D949DD3" w14:textId="77777777" w:rsidR="0015669F" w:rsidRPr="00177D75" w:rsidRDefault="0015669F" w:rsidP="008A07A3">
            <w:pPr>
              <w:pStyle w:val="ListParagraph"/>
              <w:ind w:left="0"/>
              <w:jc w:val="both"/>
            </w:pPr>
            <w:r w:rsidRPr="00177D75">
              <w:t>38,33%</w:t>
            </w:r>
          </w:p>
        </w:tc>
        <w:tc>
          <w:tcPr>
            <w:tcW w:w="1248" w:type="dxa"/>
            <w:tcBorders>
              <w:top w:val="single" w:sz="4" w:space="0" w:color="auto"/>
            </w:tcBorders>
          </w:tcPr>
          <w:p w14:paraId="49779B91" w14:textId="77777777" w:rsidR="0015669F" w:rsidRPr="00177D75" w:rsidRDefault="0015669F" w:rsidP="008A07A3">
            <w:pPr>
              <w:pStyle w:val="ListParagraph"/>
              <w:ind w:left="0"/>
              <w:jc w:val="both"/>
            </w:pPr>
            <w:r w:rsidRPr="00177D75">
              <w:t>75,42%</w:t>
            </w:r>
          </w:p>
        </w:tc>
        <w:tc>
          <w:tcPr>
            <w:tcW w:w="2147" w:type="dxa"/>
            <w:tcBorders>
              <w:top w:val="single" w:sz="4" w:space="0" w:color="auto"/>
            </w:tcBorders>
            <w:vAlign w:val="center"/>
          </w:tcPr>
          <w:p w14:paraId="0C97E385" w14:textId="77777777" w:rsidR="0015669F" w:rsidRPr="00177D75" w:rsidRDefault="0015669F" w:rsidP="008A07A3">
            <w:pPr>
              <w:pStyle w:val="ListParagraph"/>
              <w:ind w:left="0"/>
              <w:jc w:val="center"/>
            </w:pPr>
            <w:r w:rsidRPr="00177D75">
              <w:t>37,09%</w:t>
            </w:r>
          </w:p>
        </w:tc>
        <w:tc>
          <w:tcPr>
            <w:tcW w:w="2478" w:type="dxa"/>
            <w:vMerge w:val="restart"/>
            <w:tcBorders>
              <w:top w:val="single" w:sz="4" w:space="0" w:color="auto"/>
            </w:tcBorders>
            <w:vAlign w:val="center"/>
          </w:tcPr>
          <w:p w14:paraId="3A0010A0" w14:textId="77777777" w:rsidR="0015669F" w:rsidRPr="00177D75" w:rsidRDefault="0015669F" w:rsidP="008A07A3">
            <w:pPr>
              <w:pStyle w:val="ListParagraph"/>
              <w:ind w:left="0"/>
              <w:jc w:val="center"/>
            </w:pPr>
            <w:r w:rsidRPr="00177D75">
              <w:t>5,63%</w:t>
            </w:r>
          </w:p>
        </w:tc>
      </w:tr>
      <w:tr w:rsidR="0015669F" w:rsidRPr="00177D75" w14:paraId="19B88AA5" w14:textId="77777777" w:rsidTr="008A07A3">
        <w:tc>
          <w:tcPr>
            <w:tcW w:w="1656" w:type="dxa"/>
          </w:tcPr>
          <w:p w14:paraId="74AFCD2D" w14:textId="77777777" w:rsidR="0015669F" w:rsidRPr="00177D75" w:rsidRDefault="0015669F" w:rsidP="008A07A3">
            <w:pPr>
              <w:pStyle w:val="ListParagraph"/>
              <w:ind w:left="0"/>
              <w:jc w:val="center"/>
            </w:pPr>
            <w:r w:rsidRPr="00177D75">
              <w:t>STAD</w:t>
            </w:r>
          </w:p>
        </w:tc>
        <w:tc>
          <w:tcPr>
            <w:tcW w:w="1118" w:type="dxa"/>
          </w:tcPr>
          <w:p w14:paraId="175F2977" w14:textId="77777777" w:rsidR="0015669F" w:rsidRPr="00177D75" w:rsidRDefault="0015669F" w:rsidP="008A07A3">
            <w:pPr>
              <w:pStyle w:val="ListParagraph"/>
              <w:ind w:left="0"/>
              <w:jc w:val="both"/>
            </w:pPr>
            <w:r w:rsidRPr="00177D75">
              <w:t>34,17%</w:t>
            </w:r>
          </w:p>
        </w:tc>
        <w:tc>
          <w:tcPr>
            <w:tcW w:w="1248" w:type="dxa"/>
          </w:tcPr>
          <w:p w14:paraId="38C68649" w14:textId="77777777" w:rsidR="0015669F" w:rsidRPr="00177D75" w:rsidRDefault="0015669F" w:rsidP="008A07A3">
            <w:pPr>
              <w:pStyle w:val="ListParagraph"/>
              <w:ind w:left="0"/>
              <w:jc w:val="both"/>
            </w:pPr>
            <w:r w:rsidRPr="00177D75">
              <w:t>69,79%</w:t>
            </w:r>
          </w:p>
        </w:tc>
        <w:tc>
          <w:tcPr>
            <w:tcW w:w="2147" w:type="dxa"/>
            <w:vAlign w:val="center"/>
          </w:tcPr>
          <w:p w14:paraId="331A6002" w14:textId="77777777" w:rsidR="0015669F" w:rsidRPr="00177D75" w:rsidRDefault="0015669F" w:rsidP="008A07A3">
            <w:pPr>
              <w:pStyle w:val="ListParagraph"/>
              <w:ind w:left="0"/>
              <w:jc w:val="center"/>
            </w:pPr>
            <w:r w:rsidRPr="00177D75">
              <w:t>35,62%</w:t>
            </w:r>
          </w:p>
        </w:tc>
        <w:tc>
          <w:tcPr>
            <w:tcW w:w="2478" w:type="dxa"/>
            <w:vMerge/>
          </w:tcPr>
          <w:p w14:paraId="15E1FD21" w14:textId="77777777" w:rsidR="0015669F" w:rsidRPr="00177D75" w:rsidRDefault="0015669F" w:rsidP="008A07A3">
            <w:pPr>
              <w:pStyle w:val="ListParagraph"/>
              <w:ind w:left="0"/>
              <w:jc w:val="both"/>
            </w:pPr>
          </w:p>
        </w:tc>
      </w:tr>
    </w:tbl>
    <w:p w14:paraId="6EAC2AE2" w14:textId="77777777" w:rsidR="0015669F" w:rsidRDefault="0015669F" w:rsidP="0015669F">
      <w:pPr>
        <w:tabs>
          <w:tab w:val="left" w:pos="567"/>
        </w:tabs>
        <w:jc w:val="both"/>
      </w:pPr>
    </w:p>
    <w:p w14:paraId="33965646" w14:textId="3AC7F6CF" w:rsidR="00F86381" w:rsidRDefault="0015669F" w:rsidP="009C6CC3">
      <w:pPr>
        <w:pStyle w:val="ListParagraph"/>
        <w:ind w:left="0" w:firstLine="567"/>
        <w:jc w:val="both"/>
      </w:pPr>
      <w:r>
        <w:tab/>
      </w:r>
      <w:r w:rsidRPr="00177D75">
        <w:t xml:space="preserve"> </w:t>
      </w:r>
      <w:r w:rsidR="00F86381" w:rsidRPr="00F86381">
        <w:t>The comparison of the average posttest scores in the two classes shows that the average value of learning after the TGT model was applied in experimental class 1 was higher than the average value in the experimental class 2 after the STAD model was applied. This is because during the implementation of the TGT learning model with the help of question cards it can make students learn while playing, feel more enthusiastic in learning, and students are also easier to remember and understand the subject being taught. This agrees with Damayanti's research (2017); Ariani and Agustini (2013); Astuti, et al. (2017)</w:t>
      </w:r>
      <w:r w:rsidR="005115F9">
        <w:t xml:space="preserve"> and Imanda, dkk. (2017)</w:t>
      </w:r>
      <w:r w:rsidR="00F86381" w:rsidRPr="00F86381">
        <w:t xml:space="preserve"> stated that the TGT type cooperative learning model provides opportunities for students to get interesting learning materials and can interact more broadly. Fun learning and motivates students to compete in answering the questions given with a cheerful mood and the creation of team competencies based on the responsibility of each individual.</w:t>
      </w:r>
      <w:r w:rsidR="00F86381">
        <w:t xml:space="preserve"> </w:t>
      </w:r>
      <w:r w:rsidR="00F86381" w:rsidRPr="00F86381">
        <w:t>The comparison of the average value of the Pretest-Posttest learning outcomes for the experimental class 1 and experiment 2 can be seen in graph 1.1</w:t>
      </w:r>
      <w:r w:rsidR="00F86381">
        <w:t>.</w:t>
      </w:r>
    </w:p>
    <w:p w14:paraId="68303C15" w14:textId="77777777" w:rsidR="00F86381" w:rsidRDefault="00F86381" w:rsidP="00F86381">
      <w:pPr>
        <w:pStyle w:val="ListParagraph"/>
        <w:ind w:left="0" w:firstLine="567"/>
        <w:jc w:val="both"/>
      </w:pPr>
    </w:p>
    <w:p w14:paraId="7007FA6E" w14:textId="164A5D2C" w:rsidR="003F6791" w:rsidRPr="000B4DB0" w:rsidRDefault="003F6791" w:rsidP="009C6CC3">
      <w:pPr>
        <w:pStyle w:val="ListParagraph"/>
        <w:ind w:left="0" w:firstLine="567"/>
        <w:jc w:val="both"/>
        <w:rPr>
          <w:lang w:val="id-ID"/>
        </w:rPr>
      </w:pPr>
      <w:r w:rsidRPr="00177D75">
        <w:rPr>
          <w:noProof/>
          <w:lang w:val="id-ID" w:eastAsia="id-ID"/>
        </w:rPr>
        <w:drawing>
          <wp:inline distT="0" distB="0" distL="0" distR="0" wp14:anchorId="1A924298" wp14:editId="7612F700">
            <wp:extent cx="4777409" cy="2657530"/>
            <wp:effectExtent l="0" t="0" r="4445" b="9525"/>
            <wp:docPr id="196" name="Chart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243213" w14:textId="7965E818" w:rsidR="008A2D3A" w:rsidRDefault="008A2D3A" w:rsidP="008A2D3A">
      <w:pPr>
        <w:pStyle w:val="ListParagraph"/>
        <w:ind w:left="993" w:hanging="993"/>
        <w:jc w:val="both"/>
      </w:pPr>
      <w:r w:rsidRPr="008A2D3A">
        <w:t>Figure 1. Graph of Results of Comparison of Pretest-Posttest Average Scores on</w:t>
      </w:r>
      <w:r>
        <w:t xml:space="preserve"> </w:t>
      </w:r>
      <w:r w:rsidRPr="008A2D3A">
        <w:t>Cognitive Learning Outcomes for Experiment Class 1 and Experiment Class 2</w:t>
      </w:r>
    </w:p>
    <w:p w14:paraId="358C74F1" w14:textId="686F1984" w:rsidR="008A2D3A" w:rsidRDefault="008A2D3A" w:rsidP="003F6791">
      <w:pPr>
        <w:pStyle w:val="ListParagraph"/>
        <w:ind w:left="1276" w:hanging="1276"/>
        <w:jc w:val="both"/>
      </w:pPr>
    </w:p>
    <w:p w14:paraId="0932C03D" w14:textId="7B058B1F" w:rsidR="008A2D3A" w:rsidRDefault="008A2D3A" w:rsidP="003F6791">
      <w:pPr>
        <w:pStyle w:val="ListParagraph"/>
        <w:ind w:left="1276" w:hanging="1276"/>
        <w:jc w:val="both"/>
      </w:pPr>
    </w:p>
    <w:p w14:paraId="5DD02DFE" w14:textId="723F5408" w:rsidR="003F6791" w:rsidRDefault="003F6791" w:rsidP="003F6791">
      <w:pPr>
        <w:pStyle w:val="ListParagraph"/>
        <w:tabs>
          <w:tab w:val="left" w:pos="567"/>
        </w:tabs>
        <w:ind w:left="0"/>
        <w:jc w:val="both"/>
      </w:pPr>
    </w:p>
    <w:p w14:paraId="79151467" w14:textId="381A0ABB" w:rsidR="003F6791" w:rsidRDefault="003F6791" w:rsidP="003F6791">
      <w:pPr>
        <w:pStyle w:val="ListParagraph"/>
        <w:tabs>
          <w:tab w:val="left" w:pos="567"/>
        </w:tabs>
        <w:ind w:left="0"/>
        <w:jc w:val="both"/>
      </w:pPr>
      <w:r>
        <w:rPr>
          <w:lang w:val="id-ID"/>
        </w:rPr>
        <w:tab/>
      </w:r>
      <w:r w:rsidR="008F0971">
        <w:t>B</w:t>
      </w:r>
      <w:r w:rsidR="008A2D3A" w:rsidRPr="008A2D3A">
        <w:t>ased on Figure 1, shows that the average posttest value of experimental class 1 is higher than the average posttest value of experimental class 2. This means that in this study there is a comparison of cognitive learning outcomes between the experimental class 1 and the experimental class 2, indicating that the TGT learning model affects learning outcomes applied to the experimental class 1.</w:t>
      </w:r>
    </w:p>
    <w:p w14:paraId="0E5315CB" w14:textId="77777777" w:rsidR="008A2D3A" w:rsidRPr="000B4DB0" w:rsidRDefault="008A2D3A" w:rsidP="003F6791">
      <w:pPr>
        <w:pStyle w:val="ListParagraph"/>
        <w:tabs>
          <w:tab w:val="left" w:pos="567"/>
        </w:tabs>
        <w:ind w:left="0"/>
        <w:jc w:val="both"/>
        <w:rPr>
          <w:lang w:val="id-ID"/>
        </w:rPr>
      </w:pPr>
    </w:p>
    <w:p w14:paraId="4B311233" w14:textId="77777777" w:rsidR="008F0971" w:rsidRDefault="008F0971" w:rsidP="008F0971">
      <w:pPr>
        <w:pStyle w:val="ListParagraph"/>
        <w:ind w:left="0"/>
        <w:jc w:val="both"/>
      </w:pPr>
      <w:r>
        <w:t>2) Psychomotor Learning Outcomes for Experiment 1 and Experiment Class 2</w:t>
      </w:r>
    </w:p>
    <w:p w14:paraId="3C300DE8" w14:textId="2E29F25A" w:rsidR="003F6791" w:rsidRDefault="008F0971" w:rsidP="008F0971">
      <w:pPr>
        <w:pStyle w:val="ListParagraph"/>
        <w:ind w:left="0" w:firstLine="567"/>
        <w:jc w:val="both"/>
      </w:pPr>
      <w:r>
        <w:t xml:space="preserve">The results of the average scores obtained from the two classes for all students in the three meetings obtained a comparison between experimental class 1 and experiment 2. Where the percentage (%) of the average skills for the experimental class 1 was greater than the percentage (%) score. the average skill in the experimental class 2. This happened because the TGT learning model applied to the experimental class 1 had games and tournaments with question cards distributed to each student at the tournament table. This supports the learning activities of students to be more enjoyable so that students are more enthusiastic in participating in the learning process. The above results are supported by research conducted by Aka (2015: 109) who argues that with the TGT learning model, it is possible to activate students, both in group discussions, games, and tournaments. This makes students learn by themselves without having to memorize the material repeatedly. </w:t>
      </w:r>
      <w:r w:rsidRPr="008F0971">
        <w:t>The comparison of the average percentage value (%) of psychomotor learning outcomes from 3 meetings for experimental class 1 and experiment 2 can be seen in Figure 2.</w:t>
      </w:r>
    </w:p>
    <w:p w14:paraId="66FBC6F6" w14:textId="77777777" w:rsidR="008F0971" w:rsidRPr="00177D75" w:rsidRDefault="008F0971" w:rsidP="003F6791">
      <w:pPr>
        <w:pStyle w:val="ListParagraph"/>
        <w:ind w:left="0" w:firstLine="567"/>
        <w:jc w:val="both"/>
      </w:pPr>
    </w:p>
    <w:p w14:paraId="3C89D4D8" w14:textId="77777777" w:rsidR="003F6791" w:rsidRPr="00177D75" w:rsidRDefault="003F6791" w:rsidP="003F6791">
      <w:pPr>
        <w:pStyle w:val="ListParagraph"/>
        <w:ind w:left="0"/>
        <w:jc w:val="center"/>
      </w:pPr>
      <w:r w:rsidRPr="00177D75">
        <w:rPr>
          <w:noProof/>
          <w:lang w:val="id-ID" w:eastAsia="id-ID"/>
        </w:rPr>
        <w:drawing>
          <wp:inline distT="0" distB="0" distL="0" distR="0" wp14:anchorId="6FDDDBB6" wp14:editId="055B2454">
            <wp:extent cx="5433392" cy="2756701"/>
            <wp:effectExtent l="0" t="0" r="15240" b="5715"/>
            <wp:docPr id="197" name="Chart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788EAE" w14:textId="77777777" w:rsidR="00791FE7" w:rsidRPr="00791FE7" w:rsidRDefault="00791FE7" w:rsidP="00791FE7">
      <w:pPr>
        <w:jc w:val="center"/>
        <w:rPr>
          <w:lang w:val="en-GB" w:eastAsia="en-GB"/>
        </w:rPr>
      </w:pPr>
      <w:r w:rsidRPr="00791FE7">
        <w:rPr>
          <w:lang w:val="en-GB" w:eastAsia="en-GB"/>
        </w:rPr>
        <w:t>Figure 2. Results Percentage (%) of average psychomotor learning outcomes in</w:t>
      </w:r>
    </w:p>
    <w:p w14:paraId="01FAF6F9" w14:textId="51955054" w:rsidR="003F6791" w:rsidRDefault="00791FE7" w:rsidP="00791FE7">
      <w:pPr>
        <w:jc w:val="center"/>
        <w:rPr>
          <w:lang w:val="en-GB" w:eastAsia="en-GB"/>
        </w:rPr>
      </w:pPr>
      <w:r w:rsidRPr="00791FE7">
        <w:rPr>
          <w:lang w:val="en-GB" w:eastAsia="en-GB"/>
        </w:rPr>
        <w:t>experimental class 1 and experiment 2</w:t>
      </w:r>
    </w:p>
    <w:p w14:paraId="68379AA2" w14:textId="38342F64" w:rsidR="00791FE7" w:rsidRDefault="00791FE7" w:rsidP="00791FE7">
      <w:pPr>
        <w:jc w:val="center"/>
        <w:rPr>
          <w:lang w:val="en-GB" w:eastAsia="en-GB"/>
        </w:rPr>
      </w:pPr>
    </w:p>
    <w:p w14:paraId="13E15772" w14:textId="77777777" w:rsidR="003F6791" w:rsidRPr="009B09AE" w:rsidRDefault="003F6791" w:rsidP="009B09AE"/>
    <w:p w14:paraId="05EE0A7A" w14:textId="77777777" w:rsidR="00791FE7" w:rsidRDefault="00791FE7" w:rsidP="00791FE7">
      <w:pPr>
        <w:pStyle w:val="ListParagraph"/>
        <w:ind w:left="-142" w:firstLine="709"/>
        <w:jc w:val="both"/>
      </w:pPr>
      <w:r>
        <w:t>2) Normality Test Results</w:t>
      </w:r>
    </w:p>
    <w:p w14:paraId="1DA721CA" w14:textId="01328371" w:rsidR="00791FE7" w:rsidRDefault="00791FE7" w:rsidP="00791FE7">
      <w:pPr>
        <w:pStyle w:val="ListParagraph"/>
        <w:ind w:left="-142" w:firstLine="709"/>
        <w:jc w:val="both"/>
      </w:pPr>
      <w:r>
        <w:t>The normality test was carried out using the normality test analyzed using statistical tests with the Shapiro Wilk technique assisted by SPSS 17.0 software for windows with a significant level of 5% or 0.05.</w:t>
      </w:r>
    </w:p>
    <w:p w14:paraId="09E935DC" w14:textId="52C3E80D" w:rsidR="009B09AE" w:rsidRDefault="009B09AE" w:rsidP="00791FE7">
      <w:pPr>
        <w:pStyle w:val="ListParagraph"/>
        <w:ind w:left="-142" w:firstLine="709"/>
        <w:jc w:val="both"/>
      </w:pPr>
    </w:p>
    <w:p w14:paraId="40AA29BB" w14:textId="77777777" w:rsidR="009B09AE" w:rsidRDefault="009B09AE" w:rsidP="00791FE7">
      <w:pPr>
        <w:pStyle w:val="ListParagraph"/>
        <w:ind w:left="-142" w:firstLine="709"/>
        <w:jc w:val="both"/>
      </w:pPr>
    </w:p>
    <w:p w14:paraId="1747873D" w14:textId="77777777" w:rsidR="00B158C6" w:rsidRPr="00B158C6" w:rsidRDefault="00B158C6" w:rsidP="00B158C6">
      <w:pPr>
        <w:pStyle w:val="HTMLPreformatted"/>
        <w:spacing w:line="540" w:lineRule="atLeast"/>
        <w:rPr>
          <w:rFonts w:ascii="Times New Roman" w:hAnsi="Times New Roman" w:cs="Times New Roman"/>
          <w:color w:val="202124"/>
          <w:sz w:val="24"/>
          <w:szCs w:val="24"/>
        </w:rPr>
      </w:pPr>
      <w:r w:rsidRPr="00B158C6">
        <w:rPr>
          <w:rStyle w:val="y2iqfc"/>
          <w:rFonts w:ascii="Times New Roman" w:hAnsi="Times New Roman" w:cs="Times New Roman"/>
          <w:color w:val="202124"/>
          <w:sz w:val="24"/>
          <w:szCs w:val="24"/>
          <w:lang w:val="en"/>
        </w:rPr>
        <w:lastRenderedPageBreak/>
        <w:t>Table 4. Normality Test Results for Experiment 1 and Experiment 2</w:t>
      </w:r>
    </w:p>
    <w:tbl>
      <w:tblPr>
        <w:tblW w:w="8663" w:type="dxa"/>
        <w:tblInd w:w="108" w:type="dxa"/>
        <w:tblBorders>
          <w:top w:val="single" w:sz="4" w:space="0" w:color="auto"/>
          <w:bottom w:val="single" w:sz="4" w:space="0" w:color="auto"/>
        </w:tblBorders>
        <w:tblLook w:val="04A0" w:firstRow="1" w:lastRow="0" w:firstColumn="1" w:lastColumn="0" w:noHBand="0" w:noVBand="1"/>
      </w:tblPr>
      <w:tblGrid>
        <w:gridCol w:w="2586"/>
        <w:gridCol w:w="1882"/>
        <w:gridCol w:w="2067"/>
        <w:gridCol w:w="2128"/>
      </w:tblGrid>
      <w:tr w:rsidR="003F6791" w:rsidRPr="00177D75" w14:paraId="69C275D5" w14:textId="77777777" w:rsidTr="00B158C6">
        <w:trPr>
          <w:trHeight w:val="396"/>
        </w:trPr>
        <w:tc>
          <w:tcPr>
            <w:tcW w:w="2586" w:type="dxa"/>
            <w:vMerge w:val="restart"/>
            <w:tcBorders>
              <w:top w:val="single" w:sz="4" w:space="0" w:color="auto"/>
              <w:bottom w:val="nil"/>
            </w:tcBorders>
            <w:vAlign w:val="center"/>
          </w:tcPr>
          <w:p w14:paraId="4597A098" w14:textId="44661676" w:rsidR="003F6791" w:rsidRPr="003051EE" w:rsidRDefault="00B158C6" w:rsidP="00EC0E10">
            <w:pPr>
              <w:pStyle w:val="ListParagraph"/>
              <w:ind w:left="0"/>
              <w:jc w:val="center"/>
            </w:pPr>
            <w:r>
              <w:t xml:space="preserve">Class </w:t>
            </w:r>
          </w:p>
        </w:tc>
        <w:tc>
          <w:tcPr>
            <w:tcW w:w="3949" w:type="dxa"/>
            <w:gridSpan w:val="2"/>
            <w:tcBorders>
              <w:top w:val="single" w:sz="4" w:space="0" w:color="auto"/>
              <w:bottom w:val="nil"/>
            </w:tcBorders>
            <w:vAlign w:val="center"/>
          </w:tcPr>
          <w:p w14:paraId="64F8BAC3" w14:textId="77777777" w:rsidR="003F6791" w:rsidRPr="003051EE" w:rsidRDefault="003F6791" w:rsidP="00EC0E10">
            <w:pPr>
              <w:pStyle w:val="ListParagraph"/>
              <w:ind w:left="0"/>
              <w:jc w:val="center"/>
            </w:pPr>
            <w:r w:rsidRPr="003051EE">
              <w:rPr>
                <w:i/>
              </w:rPr>
              <w:t>Shapiro Wilk</w:t>
            </w:r>
          </w:p>
        </w:tc>
        <w:tc>
          <w:tcPr>
            <w:tcW w:w="2128" w:type="dxa"/>
            <w:vMerge w:val="restart"/>
            <w:tcBorders>
              <w:top w:val="single" w:sz="4" w:space="0" w:color="auto"/>
              <w:bottom w:val="nil"/>
            </w:tcBorders>
            <w:vAlign w:val="center"/>
          </w:tcPr>
          <w:p w14:paraId="3521B8FC" w14:textId="64B2FA27" w:rsidR="003F6791" w:rsidRPr="003051EE" w:rsidRDefault="005179FA" w:rsidP="00EC0E10">
            <w:pPr>
              <w:pStyle w:val="ListParagraph"/>
              <w:ind w:left="0"/>
              <w:jc w:val="center"/>
            </w:pPr>
            <w:r>
              <w:t xml:space="preserve">Conclusion </w:t>
            </w:r>
          </w:p>
        </w:tc>
      </w:tr>
      <w:tr w:rsidR="003F6791" w:rsidRPr="00177D75" w14:paraId="3346E719" w14:textId="77777777" w:rsidTr="00B158C6">
        <w:trPr>
          <w:trHeight w:val="236"/>
        </w:trPr>
        <w:tc>
          <w:tcPr>
            <w:tcW w:w="2586" w:type="dxa"/>
            <w:vMerge/>
            <w:tcBorders>
              <w:top w:val="nil"/>
              <w:bottom w:val="single" w:sz="4" w:space="0" w:color="auto"/>
            </w:tcBorders>
            <w:vAlign w:val="center"/>
          </w:tcPr>
          <w:p w14:paraId="642F67DC" w14:textId="77777777" w:rsidR="003F6791" w:rsidRPr="00177D75" w:rsidRDefault="003F6791" w:rsidP="00EC0E10">
            <w:pPr>
              <w:pStyle w:val="ListParagraph"/>
              <w:ind w:left="0"/>
              <w:jc w:val="center"/>
              <w:rPr>
                <w:b/>
              </w:rPr>
            </w:pPr>
          </w:p>
        </w:tc>
        <w:tc>
          <w:tcPr>
            <w:tcW w:w="1882" w:type="dxa"/>
            <w:tcBorders>
              <w:top w:val="nil"/>
              <w:bottom w:val="single" w:sz="4" w:space="0" w:color="auto"/>
            </w:tcBorders>
            <w:vAlign w:val="center"/>
          </w:tcPr>
          <w:p w14:paraId="09B049F4" w14:textId="77777777" w:rsidR="003F6791" w:rsidRPr="003051EE" w:rsidRDefault="003F6791" w:rsidP="00EC0E10">
            <w:pPr>
              <w:pStyle w:val="ListParagraph"/>
              <w:ind w:left="0"/>
              <w:jc w:val="center"/>
            </w:pPr>
            <w:r w:rsidRPr="003051EE">
              <w:t>Sig.</w:t>
            </w:r>
          </w:p>
        </w:tc>
        <w:tc>
          <w:tcPr>
            <w:tcW w:w="2067" w:type="dxa"/>
            <w:tcBorders>
              <w:top w:val="nil"/>
              <w:bottom w:val="single" w:sz="4" w:space="0" w:color="auto"/>
            </w:tcBorders>
            <w:vAlign w:val="center"/>
          </w:tcPr>
          <w:p w14:paraId="4B11BFC0" w14:textId="77777777" w:rsidR="003F6791" w:rsidRPr="003051EE" w:rsidRDefault="003F6791" w:rsidP="00EC0E10">
            <w:pPr>
              <w:pStyle w:val="ListParagraph"/>
              <w:ind w:left="0"/>
              <w:jc w:val="center"/>
            </w:pPr>
            <m:oMathPara>
              <m:oMath>
                <m:r>
                  <w:rPr>
                    <w:rFonts w:ascii="Cambria Math" w:hAnsi="Cambria Math"/>
                  </w:rPr>
                  <m:t>α</m:t>
                </m:r>
              </m:oMath>
            </m:oMathPara>
          </w:p>
        </w:tc>
        <w:tc>
          <w:tcPr>
            <w:tcW w:w="2128" w:type="dxa"/>
            <w:vMerge/>
            <w:tcBorders>
              <w:top w:val="nil"/>
              <w:bottom w:val="single" w:sz="4" w:space="0" w:color="auto"/>
            </w:tcBorders>
          </w:tcPr>
          <w:p w14:paraId="02F605BD" w14:textId="77777777" w:rsidR="003F6791" w:rsidRPr="00177D75" w:rsidRDefault="003F6791" w:rsidP="00EC0E10">
            <w:pPr>
              <w:pStyle w:val="ListParagraph"/>
              <w:ind w:left="0"/>
              <w:jc w:val="center"/>
              <w:rPr>
                <w:b/>
              </w:rPr>
            </w:pPr>
          </w:p>
        </w:tc>
      </w:tr>
      <w:tr w:rsidR="003F6791" w:rsidRPr="00B158C6" w14:paraId="2A52ADBB" w14:textId="77777777" w:rsidTr="00B158C6">
        <w:tc>
          <w:tcPr>
            <w:tcW w:w="2586" w:type="dxa"/>
            <w:tcBorders>
              <w:top w:val="single" w:sz="4" w:space="0" w:color="auto"/>
            </w:tcBorders>
          </w:tcPr>
          <w:p w14:paraId="421C6FD8" w14:textId="351D860B" w:rsidR="003F6791" w:rsidRPr="00B158C6" w:rsidRDefault="003F6791" w:rsidP="00EC0E10">
            <w:pPr>
              <w:pStyle w:val="ListParagraph"/>
              <w:ind w:left="0"/>
              <w:jc w:val="both"/>
              <w:rPr>
                <w:iCs/>
              </w:rPr>
            </w:pPr>
            <w:r w:rsidRPr="00B158C6">
              <w:rPr>
                <w:iCs/>
              </w:rPr>
              <w:t xml:space="preserve">Pretest </w:t>
            </w:r>
            <w:r w:rsidR="00B158C6" w:rsidRPr="00B158C6">
              <w:rPr>
                <w:iCs/>
              </w:rPr>
              <w:t>E</w:t>
            </w:r>
            <w:r w:rsidR="00B158C6">
              <w:rPr>
                <w:iCs/>
              </w:rPr>
              <w:t>x</w:t>
            </w:r>
            <w:r w:rsidR="00B158C6" w:rsidRPr="00B158C6">
              <w:rPr>
                <w:iCs/>
              </w:rPr>
              <w:t>periment</w:t>
            </w:r>
            <w:r w:rsidRPr="00B158C6">
              <w:rPr>
                <w:iCs/>
              </w:rPr>
              <w:t>1</w:t>
            </w:r>
          </w:p>
        </w:tc>
        <w:tc>
          <w:tcPr>
            <w:tcW w:w="1882" w:type="dxa"/>
            <w:tcBorders>
              <w:top w:val="single" w:sz="4" w:space="0" w:color="auto"/>
            </w:tcBorders>
            <w:vAlign w:val="center"/>
          </w:tcPr>
          <w:p w14:paraId="57FB8011" w14:textId="77777777" w:rsidR="003F6791" w:rsidRPr="00B158C6" w:rsidRDefault="003F6791" w:rsidP="00EC0E10">
            <w:pPr>
              <w:pStyle w:val="ListParagraph"/>
              <w:ind w:left="0"/>
              <w:jc w:val="center"/>
              <w:rPr>
                <w:iCs/>
              </w:rPr>
            </w:pPr>
            <w:r w:rsidRPr="00B158C6">
              <w:rPr>
                <w:iCs/>
              </w:rPr>
              <w:t>0,398</w:t>
            </w:r>
          </w:p>
        </w:tc>
        <w:tc>
          <w:tcPr>
            <w:tcW w:w="2067" w:type="dxa"/>
            <w:tcBorders>
              <w:top w:val="single" w:sz="4" w:space="0" w:color="auto"/>
            </w:tcBorders>
            <w:vAlign w:val="center"/>
          </w:tcPr>
          <w:p w14:paraId="666CFAC5" w14:textId="77777777" w:rsidR="003F6791" w:rsidRPr="00B158C6" w:rsidRDefault="003F6791" w:rsidP="00EC0E10">
            <w:pPr>
              <w:pStyle w:val="ListParagraph"/>
              <w:ind w:left="0"/>
              <w:jc w:val="center"/>
              <w:rPr>
                <w:iCs/>
              </w:rPr>
            </w:pPr>
            <w:r w:rsidRPr="00B158C6">
              <w:rPr>
                <w:iCs/>
              </w:rPr>
              <w:t>0,05</w:t>
            </w:r>
          </w:p>
        </w:tc>
        <w:tc>
          <w:tcPr>
            <w:tcW w:w="2128" w:type="dxa"/>
            <w:tcBorders>
              <w:top w:val="single" w:sz="4" w:space="0" w:color="auto"/>
            </w:tcBorders>
            <w:vAlign w:val="center"/>
          </w:tcPr>
          <w:p w14:paraId="7DDD354C" w14:textId="77777777" w:rsidR="003F6791" w:rsidRPr="00B158C6" w:rsidRDefault="003F6791" w:rsidP="00EC0E10">
            <w:pPr>
              <w:pStyle w:val="ListParagraph"/>
              <w:ind w:left="0"/>
              <w:jc w:val="center"/>
              <w:rPr>
                <w:iCs/>
              </w:rPr>
            </w:pPr>
            <w:r w:rsidRPr="00B158C6">
              <w:rPr>
                <w:iCs/>
              </w:rPr>
              <w:t>Normal</w:t>
            </w:r>
          </w:p>
        </w:tc>
      </w:tr>
      <w:tr w:rsidR="003F6791" w:rsidRPr="00B158C6" w14:paraId="4712122C" w14:textId="77777777" w:rsidTr="00B158C6">
        <w:tc>
          <w:tcPr>
            <w:tcW w:w="2586" w:type="dxa"/>
          </w:tcPr>
          <w:p w14:paraId="40DFA1FF" w14:textId="7A85519F" w:rsidR="003F6791" w:rsidRPr="00B158C6" w:rsidRDefault="003F6791" w:rsidP="00EC0E10">
            <w:pPr>
              <w:pStyle w:val="ListParagraph"/>
              <w:ind w:left="0"/>
              <w:jc w:val="both"/>
              <w:rPr>
                <w:iCs/>
              </w:rPr>
            </w:pPr>
            <w:r w:rsidRPr="00B158C6">
              <w:rPr>
                <w:iCs/>
              </w:rPr>
              <w:t xml:space="preserve">Posttest </w:t>
            </w:r>
            <w:r w:rsidR="00B158C6" w:rsidRPr="00B158C6">
              <w:rPr>
                <w:iCs/>
              </w:rPr>
              <w:t>E</w:t>
            </w:r>
            <w:r w:rsidR="00B158C6">
              <w:rPr>
                <w:iCs/>
              </w:rPr>
              <w:t>x</w:t>
            </w:r>
            <w:r w:rsidR="00B158C6" w:rsidRPr="00B158C6">
              <w:rPr>
                <w:iCs/>
              </w:rPr>
              <w:t>periment</w:t>
            </w:r>
            <w:r w:rsidRPr="00B158C6">
              <w:rPr>
                <w:iCs/>
              </w:rPr>
              <w:t xml:space="preserve"> 1</w:t>
            </w:r>
          </w:p>
        </w:tc>
        <w:tc>
          <w:tcPr>
            <w:tcW w:w="1882" w:type="dxa"/>
            <w:vAlign w:val="center"/>
          </w:tcPr>
          <w:p w14:paraId="5E567CEA" w14:textId="77777777" w:rsidR="003F6791" w:rsidRPr="00B158C6" w:rsidRDefault="003F6791" w:rsidP="00EC0E10">
            <w:pPr>
              <w:pStyle w:val="ListParagraph"/>
              <w:ind w:left="0"/>
              <w:jc w:val="center"/>
              <w:rPr>
                <w:iCs/>
              </w:rPr>
            </w:pPr>
            <w:r w:rsidRPr="00B158C6">
              <w:rPr>
                <w:iCs/>
              </w:rPr>
              <w:t>0,204</w:t>
            </w:r>
          </w:p>
        </w:tc>
        <w:tc>
          <w:tcPr>
            <w:tcW w:w="2067" w:type="dxa"/>
            <w:vAlign w:val="center"/>
          </w:tcPr>
          <w:p w14:paraId="37030F93" w14:textId="77777777" w:rsidR="003F6791" w:rsidRPr="00B158C6" w:rsidRDefault="003F6791" w:rsidP="00EC0E10">
            <w:pPr>
              <w:pStyle w:val="ListParagraph"/>
              <w:ind w:left="0"/>
              <w:jc w:val="center"/>
              <w:rPr>
                <w:iCs/>
              </w:rPr>
            </w:pPr>
            <w:r w:rsidRPr="00B158C6">
              <w:rPr>
                <w:iCs/>
              </w:rPr>
              <w:t>0,05</w:t>
            </w:r>
          </w:p>
        </w:tc>
        <w:tc>
          <w:tcPr>
            <w:tcW w:w="2128" w:type="dxa"/>
            <w:vAlign w:val="center"/>
          </w:tcPr>
          <w:p w14:paraId="0B7949D4" w14:textId="77777777" w:rsidR="003F6791" w:rsidRPr="00B158C6" w:rsidRDefault="003F6791" w:rsidP="00EC0E10">
            <w:pPr>
              <w:pStyle w:val="ListParagraph"/>
              <w:ind w:left="0"/>
              <w:jc w:val="center"/>
              <w:rPr>
                <w:iCs/>
              </w:rPr>
            </w:pPr>
            <w:r w:rsidRPr="00B158C6">
              <w:rPr>
                <w:iCs/>
              </w:rPr>
              <w:t>Normal</w:t>
            </w:r>
          </w:p>
        </w:tc>
      </w:tr>
      <w:tr w:rsidR="003F6791" w:rsidRPr="00B158C6" w14:paraId="37104CD5" w14:textId="77777777" w:rsidTr="00B158C6">
        <w:tc>
          <w:tcPr>
            <w:tcW w:w="2586" w:type="dxa"/>
          </w:tcPr>
          <w:p w14:paraId="1B4FF8C1" w14:textId="1E5C4082" w:rsidR="003F6791" w:rsidRPr="00B158C6" w:rsidRDefault="003F6791" w:rsidP="00EC0E10">
            <w:pPr>
              <w:pStyle w:val="ListParagraph"/>
              <w:ind w:left="0"/>
              <w:jc w:val="both"/>
              <w:rPr>
                <w:iCs/>
              </w:rPr>
            </w:pPr>
            <w:r w:rsidRPr="00B158C6">
              <w:rPr>
                <w:iCs/>
              </w:rPr>
              <w:t xml:space="preserve">Pretest </w:t>
            </w:r>
            <w:r w:rsidR="00B158C6" w:rsidRPr="00B158C6">
              <w:rPr>
                <w:iCs/>
              </w:rPr>
              <w:t>E</w:t>
            </w:r>
            <w:r w:rsidR="00B158C6">
              <w:rPr>
                <w:iCs/>
              </w:rPr>
              <w:t>x</w:t>
            </w:r>
            <w:r w:rsidR="00B158C6" w:rsidRPr="00B158C6">
              <w:rPr>
                <w:iCs/>
              </w:rPr>
              <w:t>periment</w:t>
            </w:r>
            <w:r w:rsidRPr="00B158C6">
              <w:rPr>
                <w:iCs/>
              </w:rPr>
              <w:t xml:space="preserve"> 2</w:t>
            </w:r>
          </w:p>
        </w:tc>
        <w:tc>
          <w:tcPr>
            <w:tcW w:w="1882" w:type="dxa"/>
            <w:vAlign w:val="center"/>
          </w:tcPr>
          <w:p w14:paraId="6606C4A0" w14:textId="77777777" w:rsidR="003F6791" w:rsidRPr="00B158C6" w:rsidRDefault="003F6791" w:rsidP="00EC0E10">
            <w:pPr>
              <w:pStyle w:val="ListParagraph"/>
              <w:ind w:left="0"/>
              <w:jc w:val="center"/>
              <w:rPr>
                <w:iCs/>
              </w:rPr>
            </w:pPr>
            <w:r w:rsidRPr="00B158C6">
              <w:rPr>
                <w:iCs/>
              </w:rPr>
              <w:t>0,082</w:t>
            </w:r>
          </w:p>
        </w:tc>
        <w:tc>
          <w:tcPr>
            <w:tcW w:w="2067" w:type="dxa"/>
            <w:vAlign w:val="center"/>
          </w:tcPr>
          <w:p w14:paraId="2CB21707" w14:textId="77777777" w:rsidR="003F6791" w:rsidRPr="00B158C6" w:rsidRDefault="003F6791" w:rsidP="00EC0E10">
            <w:pPr>
              <w:pStyle w:val="ListParagraph"/>
              <w:ind w:left="0"/>
              <w:jc w:val="center"/>
              <w:rPr>
                <w:iCs/>
              </w:rPr>
            </w:pPr>
            <w:r w:rsidRPr="00B158C6">
              <w:rPr>
                <w:iCs/>
              </w:rPr>
              <w:t>0,05</w:t>
            </w:r>
          </w:p>
        </w:tc>
        <w:tc>
          <w:tcPr>
            <w:tcW w:w="2128" w:type="dxa"/>
            <w:vAlign w:val="center"/>
          </w:tcPr>
          <w:p w14:paraId="472A2668" w14:textId="77777777" w:rsidR="003F6791" w:rsidRPr="00B158C6" w:rsidRDefault="003F6791" w:rsidP="00EC0E10">
            <w:pPr>
              <w:pStyle w:val="ListParagraph"/>
              <w:ind w:left="0"/>
              <w:jc w:val="center"/>
              <w:rPr>
                <w:iCs/>
              </w:rPr>
            </w:pPr>
            <w:r w:rsidRPr="00B158C6">
              <w:rPr>
                <w:iCs/>
              </w:rPr>
              <w:t>Normal</w:t>
            </w:r>
          </w:p>
        </w:tc>
      </w:tr>
      <w:tr w:rsidR="003F6791" w:rsidRPr="00B158C6" w14:paraId="6ECED35C" w14:textId="77777777" w:rsidTr="00B158C6">
        <w:tc>
          <w:tcPr>
            <w:tcW w:w="2586" w:type="dxa"/>
          </w:tcPr>
          <w:p w14:paraId="0760542F" w14:textId="04AB9612" w:rsidR="003F6791" w:rsidRPr="00B158C6" w:rsidRDefault="003F6791" w:rsidP="00EC0E10">
            <w:pPr>
              <w:pStyle w:val="ListParagraph"/>
              <w:ind w:left="0"/>
              <w:jc w:val="both"/>
              <w:rPr>
                <w:iCs/>
              </w:rPr>
            </w:pPr>
            <w:r w:rsidRPr="00B158C6">
              <w:rPr>
                <w:iCs/>
              </w:rPr>
              <w:t xml:space="preserve">Posttest </w:t>
            </w:r>
            <w:r w:rsidR="00B158C6" w:rsidRPr="00B158C6">
              <w:rPr>
                <w:iCs/>
              </w:rPr>
              <w:t>E</w:t>
            </w:r>
            <w:r w:rsidR="00B158C6">
              <w:rPr>
                <w:iCs/>
              </w:rPr>
              <w:t>x</w:t>
            </w:r>
            <w:r w:rsidR="00B158C6" w:rsidRPr="00B158C6">
              <w:rPr>
                <w:iCs/>
              </w:rPr>
              <w:t>periment</w:t>
            </w:r>
            <w:r w:rsidRPr="00B158C6">
              <w:rPr>
                <w:iCs/>
              </w:rPr>
              <w:t xml:space="preserve"> 2</w:t>
            </w:r>
          </w:p>
        </w:tc>
        <w:tc>
          <w:tcPr>
            <w:tcW w:w="1882" w:type="dxa"/>
            <w:vAlign w:val="center"/>
          </w:tcPr>
          <w:p w14:paraId="158A4985" w14:textId="77777777" w:rsidR="003F6791" w:rsidRPr="00B158C6" w:rsidRDefault="003F6791" w:rsidP="00EC0E10">
            <w:pPr>
              <w:pStyle w:val="ListParagraph"/>
              <w:ind w:left="0"/>
              <w:jc w:val="center"/>
              <w:rPr>
                <w:iCs/>
              </w:rPr>
            </w:pPr>
            <w:r w:rsidRPr="00B158C6">
              <w:rPr>
                <w:iCs/>
              </w:rPr>
              <w:t>0,179</w:t>
            </w:r>
          </w:p>
        </w:tc>
        <w:tc>
          <w:tcPr>
            <w:tcW w:w="2067" w:type="dxa"/>
            <w:vAlign w:val="center"/>
          </w:tcPr>
          <w:p w14:paraId="753340DD" w14:textId="77777777" w:rsidR="003F6791" w:rsidRPr="00B158C6" w:rsidRDefault="003F6791" w:rsidP="00EC0E10">
            <w:pPr>
              <w:pStyle w:val="ListParagraph"/>
              <w:ind w:left="0"/>
              <w:jc w:val="center"/>
              <w:rPr>
                <w:iCs/>
              </w:rPr>
            </w:pPr>
            <w:r w:rsidRPr="00B158C6">
              <w:rPr>
                <w:iCs/>
              </w:rPr>
              <w:t>0,05</w:t>
            </w:r>
          </w:p>
        </w:tc>
        <w:tc>
          <w:tcPr>
            <w:tcW w:w="2128" w:type="dxa"/>
            <w:vAlign w:val="center"/>
          </w:tcPr>
          <w:p w14:paraId="4A4C5E6A" w14:textId="77777777" w:rsidR="003F6791" w:rsidRPr="00B158C6" w:rsidRDefault="003F6791" w:rsidP="00EC0E10">
            <w:pPr>
              <w:pStyle w:val="ListParagraph"/>
              <w:ind w:left="0"/>
              <w:jc w:val="center"/>
              <w:rPr>
                <w:iCs/>
              </w:rPr>
            </w:pPr>
            <w:r w:rsidRPr="00B158C6">
              <w:rPr>
                <w:iCs/>
              </w:rPr>
              <w:t>Normal</w:t>
            </w:r>
          </w:p>
        </w:tc>
      </w:tr>
    </w:tbl>
    <w:p w14:paraId="0F8F5BDF" w14:textId="77777777" w:rsidR="003F6791" w:rsidRPr="00A26CA8" w:rsidRDefault="003F6791" w:rsidP="003F6791">
      <w:pPr>
        <w:pStyle w:val="ListParagraph"/>
        <w:ind w:left="-142"/>
        <w:jc w:val="both"/>
        <w:rPr>
          <w:lang w:val="id-ID"/>
        </w:rPr>
      </w:pPr>
      <w:r w:rsidRPr="00B158C6">
        <w:rPr>
          <w:iCs/>
        </w:rPr>
        <w:t xml:space="preserve">  Sumber</w:t>
      </w:r>
      <w:r w:rsidRPr="00177D75">
        <w:t xml:space="preserve">: </w:t>
      </w:r>
      <w:r w:rsidRPr="00177D75">
        <w:rPr>
          <w:i/>
          <w:color w:val="262626" w:themeColor="text1" w:themeTint="D9"/>
        </w:rPr>
        <w:t>Software</w:t>
      </w:r>
      <w:r w:rsidRPr="00177D75">
        <w:rPr>
          <w:i/>
        </w:rPr>
        <w:t xml:space="preserve"> SPSS 17.0 for Windows </w:t>
      </w:r>
      <w:r w:rsidRPr="00177D75">
        <w:t>(2019)</w:t>
      </w:r>
    </w:p>
    <w:p w14:paraId="09C43FC6" w14:textId="77777777" w:rsidR="003F6791" w:rsidRPr="00907F71" w:rsidRDefault="003F6791" w:rsidP="003F6791">
      <w:pPr>
        <w:jc w:val="both"/>
      </w:pPr>
    </w:p>
    <w:p w14:paraId="7A56516E" w14:textId="34AC41B3" w:rsidR="005179FA" w:rsidRPr="001343A7" w:rsidRDefault="001343A7" w:rsidP="003C0742">
      <w:pPr>
        <w:pStyle w:val="HTMLPreformatted"/>
        <w:tabs>
          <w:tab w:val="clear" w:pos="916"/>
          <w:tab w:val="left" w:pos="567"/>
        </w:tabs>
        <w:jc w:val="both"/>
        <w:rPr>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005179FA" w:rsidRPr="001343A7">
        <w:rPr>
          <w:rStyle w:val="y2iqfc"/>
          <w:rFonts w:ascii="Times New Roman" w:hAnsi="Times New Roman" w:cs="Times New Roman"/>
          <w:color w:val="202124"/>
          <w:sz w:val="24"/>
          <w:szCs w:val="24"/>
          <w:lang w:val="en"/>
        </w:rPr>
        <w:t xml:space="preserve">Homogeneity </w:t>
      </w:r>
      <w:r w:rsidRPr="001343A7">
        <w:rPr>
          <w:rStyle w:val="y2iqfc"/>
          <w:rFonts w:ascii="Times New Roman" w:hAnsi="Times New Roman" w:cs="Times New Roman"/>
          <w:color w:val="202124"/>
          <w:sz w:val="24"/>
          <w:szCs w:val="24"/>
          <w:lang w:val="en"/>
        </w:rPr>
        <w:t>test results</w:t>
      </w:r>
      <w:r>
        <w:rPr>
          <w:rStyle w:val="y2iqfc"/>
          <w:rFonts w:ascii="Times New Roman" w:hAnsi="Times New Roman" w:cs="Times New Roman"/>
          <w:color w:val="202124"/>
          <w:sz w:val="24"/>
          <w:szCs w:val="24"/>
          <w:lang w:val="en"/>
        </w:rPr>
        <w:t xml:space="preserve"> </w:t>
      </w:r>
      <w:r w:rsidRPr="001343A7">
        <w:rPr>
          <w:rStyle w:val="y2iqfc"/>
          <w:rFonts w:ascii="Times New Roman" w:hAnsi="Times New Roman" w:cs="Times New Roman"/>
          <w:color w:val="202124"/>
          <w:sz w:val="24"/>
          <w:szCs w:val="24"/>
          <w:lang w:val="en"/>
        </w:rPr>
        <w:t xml:space="preserve">the </w:t>
      </w:r>
      <w:r w:rsidR="005179FA" w:rsidRPr="001343A7">
        <w:rPr>
          <w:rStyle w:val="y2iqfc"/>
          <w:rFonts w:ascii="Times New Roman" w:hAnsi="Times New Roman" w:cs="Times New Roman"/>
          <w:color w:val="202124"/>
          <w:sz w:val="24"/>
          <w:szCs w:val="24"/>
          <w:lang w:val="en"/>
        </w:rPr>
        <w:t>homogeneity test uses a homogeneous of variance test with a significant level of 0.05 and the provisions of the homogeneity test if the</w:t>
      </w:r>
      <w:r>
        <w:rPr>
          <w:rStyle w:val="y2iqfc"/>
          <w:rFonts w:ascii="Times New Roman" w:hAnsi="Times New Roman" w:cs="Times New Roman"/>
          <w:color w:val="202124"/>
          <w:sz w:val="24"/>
          <w:szCs w:val="24"/>
          <w:lang w:val="en"/>
        </w:rPr>
        <w:t xml:space="preserve"> </w:t>
      </w:r>
      <w:r w:rsidR="005179FA" w:rsidRPr="001343A7">
        <w:rPr>
          <w:rStyle w:val="y2iqfc"/>
          <w:rFonts w:ascii="Times New Roman" w:hAnsi="Times New Roman" w:cs="Times New Roman"/>
          <w:color w:val="202124"/>
          <w:sz w:val="24"/>
          <w:szCs w:val="24"/>
          <w:lang w:val="en"/>
        </w:rPr>
        <w:t>significant value is &gt;α so that the data is homogeneous, while if the significant value is &lt;α so the data is not homogeneous.</w:t>
      </w:r>
    </w:p>
    <w:p w14:paraId="494F3884" w14:textId="77777777" w:rsidR="003F6791" w:rsidRPr="00177D75" w:rsidRDefault="003F6791" w:rsidP="003C0742">
      <w:pPr>
        <w:pStyle w:val="ListParagraph"/>
        <w:ind w:left="0" w:firstLine="567"/>
        <w:jc w:val="both"/>
      </w:pPr>
    </w:p>
    <w:p w14:paraId="21C8CC04" w14:textId="77777777" w:rsidR="003C0742" w:rsidRPr="003C0742" w:rsidRDefault="003C0742" w:rsidP="003C0742">
      <w:pPr>
        <w:pStyle w:val="HTMLPreformatted"/>
        <w:shd w:val="clear" w:color="auto" w:fill="F8F9FA"/>
        <w:rPr>
          <w:rFonts w:ascii="Times New Roman" w:hAnsi="Times New Roman" w:cs="Times New Roman"/>
          <w:color w:val="202124"/>
          <w:sz w:val="24"/>
          <w:szCs w:val="24"/>
        </w:rPr>
      </w:pPr>
      <w:r w:rsidRPr="003C0742">
        <w:rPr>
          <w:rStyle w:val="y2iqfc"/>
          <w:rFonts w:ascii="Times New Roman" w:hAnsi="Times New Roman" w:cs="Times New Roman"/>
          <w:color w:val="202124"/>
          <w:sz w:val="24"/>
          <w:szCs w:val="24"/>
          <w:lang w:val="en"/>
        </w:rPr>
        <w:t>Table 5. Homogeneity Test Results of Students' Pretest-Posttest Scores</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143"/>
        <w:gridCol w:w="842"/>
        <w:gridCol w:w="976"/>
        <w:gridCol w:w="2436"/>
      </w:tblGrid>
      <w:tr w:rsidR="003F6791" w:rsidRPr="00177D75" w14:paraId="09214732" w14:textId="77777777" w:rsidTr="00EC0E10">
        <w:trPr>
          <w:trHeight w:val="566"/>
        </w:trPr>
        <w:tc>
          <w:tcPr>
            <w:tcW w:w="4395" w:type="dxa"/>
            <w:tcBorders>
              <w:top w:val="single" w:sz="4" w:space="0" w:color="auto"/>
              <w:bottom w:val="single" w:sz="4" w:space="0" w:color="auto"/>
            </w:tcBorders>
            <w:vAlign w:val="center"/>
          </w:tcPr>
          <w:p w14:paraId="22CFA2E7" w14:textId="77777777" w:rsidR="003F6791" w:rsidRPr="003051EE" w:rsidRDefault="003F6791" w:rsidP="00EC0E10">
            <w:pPr>
              <w:pStyle w:val="ListParagraph"/>
              <w:ind w:left="0"/>
              <w:jc w:val="center"/>
            </w:pPr>
            <w:r w:rsidRPr="003051EE">
              <w:t>Kelas</w:t>
            </w:r>
          </w:p>
        </w:tc>
        <w:tc>
          <w:tcPr>
            <w:tcW w:w="850" w:type="dxa"/>
            <w:tcBorders>
              <w:top w:val="single" w:sz="4" w:space="0" w:color="auto"/>
              <w:bottom w:val="single" w:sz="4" w:space="0" w:color="auto"/>
            </w:tcBorders>
            <w:vAlign w:val="center"/>
          </w:tcPr>
          <w:p w14:paraId="12A92F4B" w14:textId="77777777" w:rsidR="003F6791" w:rsidRPr="003051EE" w:rsidRDefault="003F6791" w:rsidP="00EC0E10">
            <w:pPr>
              <w:pStyle w:val="ListParagraph"/>
              <w:ind w:left="0"/>
              <w:jc w:val="center"/>
            </w:pPr>
            <w:r w:rsidRPr="003051EE">
              <w:t>Sig.</w:t>
            </w:r>
          </w:p>
        </w:tc>
        <w:tc>
          <w:tcPr>
            <w:tcW w:w="1007" w:type="dxa"/>
            <w:tcBorders>
              <w:top w:val="single" w:sz="4" w:space="0" w:color="auto"/>
              <w:bottom w:val="single" w:sz="4" w:space="0" w:color="auto"/>
            </w:tcBorders>
            <w:vAlign w:val="center"/>
          </w:tcPr>
          <w:p w14:paraId="7F880CA2" w14:textId="77777777" w:rsidR="003F6791" w:rsidRPr="003051EE" w:rsidRDefault="003F6791" w:rsidP="00EC0E10">
            <w:pPr>
              <w:pStyle w:val="ListParagraph"/>
              <w:ind w:left="0"/>
              <w:jc w:val="center"/>
            </w:pPr>
            <m:oMathPara>
              <m:oMath>
                <m:r>
                  <w:rPr>
                    <w:rFonts w:ascii="Cambria Math" w:hAnsi="Cambria Math"/>
                  </w:rPr>
                  <m:t>α</m:t>
                </m:r>
              </m:oMath>
            </m:oMathPara>
          </w:p>
        </w:tc>
        <w:tc>
          <w:tcPr>
            <w:tcW w:w="2537" w:type="dxa"/>
            <w:tcBorders>
              <w:top w:val="single" w:sz="4" w:space="0" w:color="auto"/>
              <w:bottom w:val="single" w:sz="4" w:space="0" w:color="auto"/>
            </w:tcBorders>
            <w:vAlign w:val="center"/>
          </w:tcPr>
          <w:p w14:paraId="2159B27E" w14:textId="1405F182" w:rsidR="003F6791" w:rsidRPr="003051EE" w:rsidRDefault="003C0742" w:rsidP="00EC0E10">
            <w:pPr>
              <w:pStyle w:val="ListParagraph"/>
              <w:ind w:left="0"/>
              <w:jc w:val="center"/>
            </w:pPr>
            <w:r>
              <w:t xml:space="preserve">Conclusion </w:t>
            </w:r>
          </w:p>
        </w:tc>
      </w:tr>
      <w:tr w:rsidR="003F6791" w:rsidRPr="003C0742" w14:paraId="736E3769" w14:textId="77777777" w:rsidTr="00EC0E10">
        <w:tc>
          <w:tcPr>
            <w:tcW w:w="4395" w:type="dxa"/>
            <w:tcBorders>
              <w:top w:val="single" w:sz="4" w:space="0" w:color="auto"/>
            </w:tcBorders>
          </w:tcPr>
          <w:p w14:paraId="5CB4FE36" w14:textId="265244ED" w:rsidR="003F6791" w:rsidRPr="003C0742" w:rsidRDefault="003F6791" w:rsidP="00EC0E10">
            <w:pPr>
              <w:pStyle w:val="ListParagraph"/>
              <w:ind w:left="0"/>
              <w:jc w:val="both"/>
              <w:rPr>
                <w:iCs/>
              </w:rPr>
            </w:pPr>
            <w:r w:rsidRPr="003C0742">
              <w:rPr>
                <w:iCs/>
              </w:rPr>
              <w:t>Pretest E</w:t>
            </w:r>
            <w:r w:rsidR="003C0742" w:rsidRPr="003C0742">
              <w:rPr>
                <w:iCs/>
              </w:rPr>
              <w:t xml:space="preserve">xperiment </w:t>
            </w:r>
            <w:r w:rsidRPr="003C0742">
              <w:rPr>
                <w:iCs/>
              </w:rPr>
              <w:t xml:space="preserve">1 </w:t>
            </w:r>
            <w:r w:rsidR="003C0742" w:rsidRPr="003C0742">
              <w:rPr>
                <w:iCs/>
              </w:rPr>
              <w:t>and</w:t>
            </w:r>
            <w:r w:rsidRPr="003C0742">
              <w:rPr>
                <w:iCs/>
              </w:rPr>
              <w:t xml:space="preserve"> </w:t>
            </w:r>
            <w:r w:rsidR="003C0742" w:rsidRPr="003C0742">
              <w:rPr>
                <w:iCs/>
              </w:rPr>
              <w:t>Experiment</w:t>
            </w:r>
            <w:r w:rsidRPr="003C0742">
              <w:rPr>
                <w:iCs/>
              </w:rPr>
              <w:t xml:space="preserve"> 2</w:t>
            </w:r>
          </w:p>
        </w:tc>
        <w:tc>
          <w:tcPr>
            <w:tcW w:w="850" w:type="dxa"/>
            <w:tcBorders>
              <w:top w:val="single" w:sz="4" w:space="0" w:color="auto"/>
            </w:tcBorders>
            <w:vAlign w:val="center"/>
          </w:tcPr>
          <w:p w14:paraId="26894E89" w14:textId="77777777" w:rsidR="003F6791" w:rsidRPr="003C0742" w:rsidRDefault="003F6791" w:rsidP="00EC0E10">
            <w:pPr>
              <w:pStyle w:val="ListParagraph"/>
              <w:ind w:left="0"/>
              <w:jc w:val="center"/>
              <w:rPr>
                <w:iCs/>
              </w:rPr>
            </w:pPr>
            <w:r w:rsidRPr="003C0742">
              <w:rPr>
                <w:iCs/>
              </w:rPr>
              <w:t>0,969</w:t>
            </w:r>
          </w:p>
        </w:tc>
        <w:tc>
          <w:tcPr>
            <w:tcW w:w="1007" w:type="dxa"/>
            <w:vMerge w:val="restart"/>
            <w:tcBorders>
              <w:top w:val="single" w:sz="4" w:space="0" w:color="auto"/>
            </w:tcBorders>
            <w:vAlign w:val="center"/>
          </w:tcPr>
          <w:p w14:paraId="7C96AD57" w14:textId="77777777" w:rsidR="003F6791" w:rsidRPr="003C0742" w:rsidRDefault="003F6791" w:rsidP="00EC0E10">
            <w:pPr>
              <w:pStyle w:val="ListParagraph"/>
              <w:ind w:left="0"/>
              <w:jc w:val="center"/>
              <w:rPr>
                <w:iCs/>
              </w:rPr>
            </w:pPr>
            <w:r w:rsidRPr="003C0742">
              <w:rPr>
                <w:iCs/>
              </w:rPr>
              <w:t>0,05</w:t>
            </w:r>
          </w:p>
        </w:tc>
        <w:tc>
          <w:tcPr>
            <w:tcW w:w="2537" w:type="dxa"/>
            <w:tcBorders>
              <w:top w:val="single" w:sz="4" w:space="0" w:color="auto"/>
            </w:tcBorders>
          </w:tcPr>
          <w:p w14:paraId="3B84DF10" w14:textId="77777777" w:rsidR="003F6791" w:rsidRPr="003C0742" w:rsidRDefault="003F6791" w:rsidP="00EC0E10">
            <w:pPr>
              <w:pStyle w:val="ListParagraph"/>
              <w:ind w:left="0"/>
              <w:jc w:val="center"/>
              <w:rPr>
                <w:iCs/>
              </w:rPr>
            </w:pPr>
            <w:r w:rsidRPr="003C0742">
              <w:rPr>
                <w:iCs/>
              </w:rPr>
              <w:t>Homogen</w:t>
            </w:r>
          </w:p>
        </w:tc>
      </w:tr>
      <w:tr w:rsidR="003F6791" w:rsidRPr="003C0742" w14:paraId="7BF919A4" w14:textId="77777777" w:rsidTr="00EC0E10">
        <w:tc>
          <w:tcPr>
            <w:tcW w:w="4395" w:type="dxa"/>
          </w:tcPr>
          <w:p w14:paraId="6650A5BD" w14:textId="2AABC653" w:rsidR="003F6791" w:rsidRPr="003C0742" w:rsidRDefault="003F6791" w:rsidP="00EC0E10">
            <w:pPr>
              <w:pStyle w:val="ListParagraph"/>
              <w:ind w:left="0"/>
              <w:jc w:val="both"/>
              <w:rPr>
                <w:iCs/>
              </w:rPr>
            </w:pPr>
            <w:r w:rsidRPr="003C0742">
              <w:rPr>
                <w:iCs/>
              </w:rPr>
              <w:t xml:space="preserve">Posttest </w:t>
            </w:r>
            <w:r w:rsidR="003C0742" w:rsidRPr="003C0742">
              <w:rPr>
                <w:iCs/>
              </w:rPr>
              <w:t>Experiment</w:t>
            </w:r>
            <w:r w:rsidRPr="003C0742">
              <w:rPr>
                <w:iCs/>
              </w:rPr>
              <w:t xml:space="preserve"> 1 </w:t>
            </w:r>
            <w:r w:rsidR="003C0742" w:rsidRPr="003C0742">
              <w:rPr>
                <w:iCs/>
              </w:rPr>
              <w:t>and</w:t>
            </w:r>
            <w:r w:rsidRPr="003C0742">
              <w:rPr>
                <w:iCs/>
              </w:rPr>
              <w:t xml:space="preserve"> </w:t>
            </w:r>
            <w:r w:rsidR="003C0742" w:rsidRPr="003C0742">
              <w:rPr>
                <w:iCs/>
              </w:rPr>
              <w:t>Experiment</w:t>
            </w:r>
            <w:r w:rsidRPr="003C0742">
              <w:rPr>
                <w:iCs/>
              </w:rPr>
              <w:t xml:space="preserve"> 2</w:t>
            </w:r>
          </w:p>
        </w:tc>
        <w:tc>
          <w:tcPr>
            <w:tcW w:w="850" w:type="dxa"/>
            <w:vAlign w:val="center"/>
          </w:tcPr>
          <w:p w14:paraId="3EF32165" w14:textId="77777777" w:rsidR="003F6791" w:rsidRPr="003C0742" w:rsidRDefault="003F6791" w:rsidP="00EC0E10">
            <w:pPr>
              <w:pStyle w:val="ListParagraph"/>
              <w:ind w:left="0"/>
              <w:jc w:val="center"/>
              <w:rPr>
                <w:iCs/>
              </w:rPr>
            </w:pPr>
            <w:r w:rsidRPr="003C0742">
              <w:rPr>
                <w:iCs/>
              </w:rPr>
              <w:t>0,170</w:t>
            </w:r>
          </w:p>
        </w:tc>
        <w:tc>
          <w:tcPr>
            <w:tcW w:w="1007" w:type="dxa"/>
            <w:vMerge/>
          </w:tcPr>
          <w:p w14:paraId="10550273" w14:textId="77777777" w:rsidR="003F6791" w:rsidRPr="003C0742" w:rsidRDefault="003F6791" w:rsidP="00EC0E10">
            <w:pPr>
              <w:pStyle w:val="ListParagraph"/>
              <w:ind w:left="0"/>
              <w:jc w:val="center"/>
              <w:rPr>
                <w:iCs/>
              </w:rPr>
            </w:pPr>
          </w:p>
        </w:tc>
        <w:tc>
          <w:tcPr>
            <w:tcW w:w="2537" w:type="dxa"/>
          </w:tcPr>
          <w:p w14:paraId="284BB8B1" w14:textId="77777777" w:rsidR="003F6791" w:rsidRPr="003C0742" w:rsidRDefault="003F6791" w:rsidP="00EC0E10">
            <w:pPr>
              <w:pStyle w:val="ListParagraph"/>
              <w:ind w:left="0"/>
              <w:jc w:val="center"/>
              <w:rPr>
                <w:iCs/>
              </w:rPr>
            </w:pPr>
            <w:r w:rsidRPr="003C0742">
              <w:rPr>
                <w:iCs/>
              </w:rPr>
              <w:t>Homogen</w:t>
            </w:r>
          </w:p>
        </w:tc>
      </w:tr>
    </w:tbl>
    <w:p w14:paraId="1E59A363" w14:textId="77777777" w:rsidR="003F6791" w:rsidRDefault="003F6791" w:rsidP="003F6791">
      <w:pPr>
        <w:tabs>
          <w:tab w:val="left" w:pos="567"/>
        </w:tabs>
        <w:jc w:val="both"/>
        <w:rPr>
          <w:rFonts w:eastAsiaTheme="minorEastAsia"/>
        </w:rPr>
      </w:pPr>
      <w:r w:rsidRPr="00177D75">
        <w:rPr>
          <w:rFonts w:eastAsiaTheme="minorEastAsia"/>
        </w:rPr>
        <w:t xml:space="preserve">Sumber: </w:t>
      </w:r>
      <w:r w:rsidRPr="00177D75">
        <w:rPr>
          <w:rFonts w:eastAsiaTheme="minorEastAsia"/>
          <w:i/>
          <w:color w:val="262626" w:themeColor="text1" w:themeTint="D9"/>
        </w:rPr>
        <w:t>Software</w:t>
      </w:r>
      <w:r w:rsidRPr="00177D75">
        <w:rPr>
          <w:rFonts w:eastAsiaTheme="minorEastAsia"/>
          <w:i/>
        </w:rPr>
        <w:t xml:space="preserve"> SPSS 17.0 for windows </w:t>
      </w:r>
      <w:r w:rsidRPr="00177D75">
        <w:rPr>
          <w:rFonts w:eastAsiaTheme="minorEastAsia"/>
        </w:rPr>
        <w:t>(2019)</w:t>
      </w:r>
    </w:p>
    <w:p w14:paraId="1F41D74A" w14:textId="42BF1C36" w:rsidR="003F6791" w:rsidRDefault="003F6791" w:rsidP="0015669F">
      <w:pPr>
        <w:pStyle w:val="ListParagraph"/>
        <w:ind w:left="0" w:firstLine="567"/>
        <w:jc w:val="both"/>
        <w:rPr>
          <w:lang w:val="id-ID"/>
        </w:rPr>
      </w:pPr>
    </w:p>
    <w:p w14:paraId="2C0CB63F" w14:textId="72ED61A1" w:rsidR="00724FD4" w:rsidRDefault="003C0742" w:rsidP="00724FD4">
      <w:pPr>
        <w:pStyle w:val="ListParagraph"/>
        <w:ind w:left="0" w:firstLine="567"/>
        <w:jc w:val="both"/>
      </w:pPr>
      <w:r w:rsidRPr="003C0742">
        <w:t>Based on the data in Table 5, it can be concluded that the data is homogeneous. This is supported by Nurdiyanti (2010: 100) stating that the results of the pretest and posttest data calculations for experimental class 1 and experimental class 2 have homogeneous variances so that these results meet the requirements for a t-test.</w:t>
      </w:r>
    </w:p>
    <w:p w14:paraId="17C7499D" w14:textId="77777777" w:rsidR="003C0742" w:rsidRPr="00B7794C" w:rsidRDefault="003C0742" w:rsidP="00724FD4">
      <w:pPr>
        <w:pStyle w:val="ListParagraph"/>
        <w:ind w:left="0" w:firstLine="567"/>
        <w:jc w:val="both"/>
        <w:rPr>
          <w:lang w:val="id-ID"/>
        </w:rPr>
      </w:pPr>
    </w:p>
    <w:p w14:paraId="6B63148E" w14:textId="77777777" w:rsidR="003C0742" w:rsidRDefault="003C0742" w:rsidP="003C0742">
      <w:pPr>
        <w:pStyle w:val="ListParagraph"/>
        <w:ind w:left="1287" w:hanging="1287"/>
        <w:jc w:val="both"/>
      </w:pPr>
      <w:r>
        <w:t>2) Hypothesis Test Results</w:t>
      </w:r>
    </w:p>
    <w:p w14:paraId="02EFC0BF" w14:textId="53188DBC" w:rsidR="00724FD4" w:rsidRPr="003051EE" w:rsidRDefault="003C0742" w:rsidP="003C0742">
      <w:pPr>
        <w:pStyle w:val="ListParagraph"/>
        <w:ind w:left="1287" w:hanging="1287"/>
        <w:jc w:val="both"/>
      </w:pPr>
      <w:r>
        <w:t>Table 6. Results of the Posttest Hypothesis Testing Experiment 1 and Experiment 2</w:t>
      </w:r>
    </w:p>
    <w:tbl>
      <w:tblPr>
        <w:tblpPr w:leftFromText="180" w:rightFromText="180" w:vertAnchor="text" w:horzAnchor="margin" w:tblpX="108" w:tblpY="5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134"/>
        <w:gridCol w:w="1701"/>
        <w:gridCol w:w="1701"/>
      </w:tblGrid>
      <w:tr w:rsidR="00724FD4" w:rsidRPr="003051EE" w14:paraId="41592B60" w14:textId="77777777" w:rsidTr="00EC0E10">
        <w:tc>
          <w:tcPr>
            <w:tcW w:w="1668" w:type="dxa"/>
          </w:tcPr>
          <w:p w14:paraId="42C21B41" w14:textId="43B87EAA" w:rsidR="00724FD4" w:rsidRPr="003051EE" w:rsidRDefault="003C0742" w:rsidP="00EC0E10">
            <w:pPr>
              <w:pStyle w:val="ListParagraph"/>
              <w:ind w:left="0"/>
              <w:jc w:val="center"/>
            </w:pPr>
            <w:r>
              <w:t xml:space="preserve">Class </w:t>
            </w:r>
          </w:p>
        </w:tc>
        <w:tc>
          <w:tcPr>
            <w:tcW w:w="2551" w:type="dxa"/>
          </w:tcPr>
          <w:p w14:paraId="2B9C6B7A" w14:textId="587B5387" w:rsidR="00724FD4" w:rsidRPr="003051EE" w:rsidRDefault="003C0742" w:rsidP="00EC0E10">
            <w:pPr>
              <w:pStyle w:val="ListParagraph"/>
              <w:ind w:left="0"/>
              <w:jc w:val="center"/>
            </w:pPr>
            <w:r>
              <w:t>Number Of Student</w:t>
            </w:r>
          </w:p>
        </w:tc>
        <w:tc>
          <w:tcPr>
            <w:tcW w:w="1134" w:type="dxa"/>
          </w:tcPr>
          <w:p w14:paraId="2AD3F027" w14:textId="77777777" w:rsidR="00724FD4" w:rsidRPr="003051EE" w:rsidRDefault="00724FD4" w:rsidP="00EC0E10">
            <w:pPr>
              <w:pStyle w:val="ListParagraph"/>
              <w:ind w:left="0"/>
              <w:jc w:val="center"/>
            </w:pPr>
            <m:oMathPara>
              <m:oMath>
                <m:r>
                  <w:rPr>
                    <w:rFonts w:ascii="Cambria Math" w:hAnsi="Cambria Math"/>
                  </w:rPr>
                  <m:t>α</m:t>
                </m:r>
              </m:oMath>
            </m:oMathPara>
          </w:p>
        </w:tc>
        <w:tc>
          <w:tcPr>
            <w:tcW w:w="1701" w:type="dxa"/>
          </w:tcPr>
          <w:p w14:paraId="1FB0D0ED" w14:textId="77777777" w:rsidR="00724FD4" w:rsidRPr="003051EE" w:rsidRDefault="00724FD4" w:rsidP="00EC0E10">
            <w:pPr>
              <w:pStyle w:val="ListParagraph"/>
              <w:ind w:left="0"/>
              <w:jc w:val="center"/>
            </w:pPr>
            <w:r w:rsidRPr="003051EE">
              <w:t>Sig. (</w:t>
            </w:r>
            <w:r w:rsidRPr="003051EE">
              <w:rPr>
                <w:i/>
              </w:rPr>
              <w:t>2-tailed</w:t>
            </w:r>
            <w:r w:rsidRPr="003051EE">
              <w:t>)</w:t>
            </w:r>
          </w:p>
        </w:tc>
        <w:tc>
          <w:tcPr>
            <w:tcW w:w="1701" w:type="dxa"/>
          </w:tcPr>
          <w:p w14:paraId="5D4BD5E2" w14:textId="39385EB4" w:rsidR="00724FD4" w:rsidRPr="003051EE" w:rsidRDefault="003C0742" w:rsidP="00EC0E10">
            <w:pPr>
              <w:pStyle w:val="ListParagraph"/>
              <w:ind w:left="0"/>
              <w:jc w:val="center"/>
            </w:pPr>
            <w:r>
              <w:t xml:space="preserve">Conclusion </w:t>
            </w:r>
          </w:p>
        </w:tc>
      </w:tr>
      <w:tr w:rsidR="00724FD4" w:rsidRPr="00177D75" w14:paraId="38EFEDC7" w14:textId="77777777" w:rsidTr="00EC0E10">
        <w:tc>
          <w:tcPr>
            <w:tcW w:w="1668" w:type="dxa"/>
            <w:vAlign w:val="center"/>
          </w:tcPr>
          <w:p w14:paraId="14E1C769" w14:textId="5CA309DD" w:rsidR="00724FD4" w:rsidRPr="00177D75" w:rsidRDefault="003C0742" w:rsidP="00EC0E10">
            <w:pPr>
              <w:pStyle w:val="ListParagraph"/>
              <w:ind w:left="0"/>
              <w:jc w:val="center"/>
            </w:pPr>
            <w:r>
              <w:t>Ex</w:t>
            </w:r>
            <w:r w:rsidR="00724FD4" w:rsidRPr="00177D75">
              <w:t>perimen</w:t>
            </w:r>
            <w:r>
              <w:t>t</w:t>
            </w:r>
            <w:r w:rsidR="00724FD4" w:rsidRPr="00177D75">
              <w:t xml:space="preserve"> 1 </w:t>
            </w:r>
          </w:p>
        </w:tc>
        <w:tc>
          <w:tcPr>
            <w:tcW w:w="2551" w:type="dxa"/>
            <w:vAlign w:val="center"/>
          </w:tcPr>
          <w:p w14:paraId="34ABD033" w14:textId="77777777" w:rsidR="00724FD4" w:rsidRPr="00177D75" w:rsidRDefault="00724FD4" w:rsidP="00EC0E10">
            <w:pPr>
              <w:pStyle w:val="ListParagraph"/>
              <w:ind w:left="0"/>
              <w:jc w:val="center"/>
            </w:pPr>
            <w:r w:rsidRPr="00177D75">
              <w:t>24</w:t>
            </w:r>
          </w:p>
        </w:tc>
        <w:tc>
          <w:tcPr>
            <w:tcW w:w="1134" w:type="dxa"/>
            <w:vAlign w:val="center"/>
          </w:tcPr>
          <w:p w14:paraId="3E5F1230" w14:textId="77777777" w:rsidR="00724FD4" w:rsidRPr="00177D75" w:rsidRDefault="00724FD4" w:rsidP="00EC0E10">
            <w:pPr>
              <w:pStyle w:val="ListParagraph"/>
              <w:ind w:left="0"/>
              <w:jc w:val="center"/>
            </w:pPr>
            <w:r w:rsidRPr="00177D75">
              <w:t>0,05</w:t>
            </w:r>
          </w:p>
        </w:tc>
        <w:tc>
          <w:tcPr>
            <w:tcW w:w="1701" w:type="dxa"/>
            <w:vAlign w:val="center"/>
          </w:tcPr>
          <w:p w14:paraId="60499739" w14:textId="77777777" w:rsidR="00724FD4" w:rsidRPr="00177D75" w:rsidRDefault="00724FD4" w:rsidP="00EC0E10">
            <w:pPr>
              <w:pStyle w:val="ListParagraph"/>
              <w:ind w:left="0"/>
              <w:jc w:val="center"/>
            </w:pPr>
            <w:r w:rsidRPr="00177D75">
              <w:t>0,03</w:t>
            </w:r>
          </w:p>
        </w:tc>
        <w:tc>
          <w:tcPr>
            <w:tcW w:w="1701" w:type="dxa"/>
            <w:vAlign w:val="center"/>
          </w:tcPr>
          <w:p w14:paraId="023B531B" w14:textId="77777777" w:rsidR="00724FD4" w:rsidRPr="00177D75" w:rsidRDefault="00724FD4" w:rsidP="00EC0E10">
            <w:pPr>
              <w:pStyle w:val="ListParagraph"/>
              <w:ind w:left="0"/>
              <w:jc w:val="center"/>
            </w:pPr>
            <w:r w:rsidRPr="00177D75">
              <w:t>H</w:t>
            </w:r>
            <w:r w:rsidRPr="00177D75">
              <w:rPr>
                <w:vertAlign w:val="subscript"/>
              </w:rPr>
              <w:t>a</w:t>
            </w:r>
            <w:r w:rsidRPr="00177D75">
              <w:t xml:space="preserve"> diterima</w:t>
            </w:r>
          </w:p>
        </w:tc>
      </w:tr>
      <w:tr w:rsidR="00724FD4" w:rsidRPr="00177D75" w14:paraId="6B8C94FD" w14:textId="77777777" w:rsidTr="00EC0E10">
        <w:tc>
          <w:tcPr>
            <w:tcW w:w="1668" w:type="dxa"/>
            <w:vAlign w:val="center"/>
          </w:tcPr>
          <w:p w14:paraId="6781C342" w14:textId="17629915" w:rsidR="00724FD4" w:rsidRPr="00177D75" w:rsidRDefault="003C0742" w:rsidP="00EC0E10">
            <w:pPr>
              <w:pStyle w:val="ListParagraph"/>
              <w:ind w:left="0"/>
              <w:jc w:val="center"/>
            </w:pPr>
            <w:r>
              <w:t>Ex</w:t>
            </w:r>
            <w:r w:rsidRPr="00177D75">
              <w:t>perimen</w:t>
            </w:r>
            <w:r>
              <w:t>t</w:t>
            </w:r>
            <w:r w:rsidRPr="00177D75">
              <w:t xml:space="preserve"> </w:t>
            </w:r>
            <w:r w:rsidR="00724FD4" w:rsidRPr="00177D75">
              <w:t xml:space="preserve"> 2</w:t>
            </w:r>
          </w:p>
        </w:tc>
        <w:tc>
          <w:tcPr>
            <w:tcW w:w="2551" w:type="dxa"/>
            <w:vAlign w:val="center"/>
          </w:tcPr>
          <w:p w14:paraId="782CB542" w14:textId="77777777" w:rsidR="00724FD4" w:rsidRPr="00177D75" w:rsidRDefault="00724FD4" w:rsidP="00EC0E10">
            <w:pPr>
              <w:pStyle w:val="ListParagraph"/>
              <w:ind w:left="0"/>
              <w:jc w:val="center"/>
            </w:pPr>
            <w:r w:rsidRPr="00177D75">
              <w:t>24</w:t>
            </w:r>
          </w:p>
        </w:tc>
        <w:tc>
          <w:tcPr>
            <w:tcW w:w="1134" w:type="dxa"/>
            <w:vAlign w:val="center"/>
          </w:tcPr>
          <w:p w14:paraId="66328F99" w14:textId="77777777" w:rsidR="00724FD4" w:rsidRPr="00177D75" w:rsidRDefault="00724FD4" w:rsidP="00EC0E10">
            <w:pPr>
              <w:pStyle w:val="ListParagraph"/>
              <w:ind w:left="0"/>
              <w:jc w:val="center"/>
            </w:pPr>
            <w:r w:rsidRPr="00177D75">
              <w:t>0,05</w:t>
            </w:r>
          </w:p>
        </w:tc>
        <w:tc>
          <w:tcPr>
            <w:tcW w:w="1701" w:type="dxa"/>
            <w:vAlign w:val="center"/>
          </w:tcPr>
          <w:p w14:paraId="3CBBCCB4" w14:textId="77777777" w:rsidR="00724FD4" w:rsidRPr="00177D75" w:rsidRDefault="00724FD4" w:rsidP="00EC0E10">
            <w:pPr>
              <w:pStyle w:val="ListParagraph"/>
              <w:ind w:left="0"/>
              <w:jc w:val="center"/>
            </w:pPr>
            <w:r w:rsidRPr="00177D75">
              <w:t>0,03</w:t>
            </w:r>
          </w:p>
        </w:tc>
        <w:tc>
          <w:tcPr>
            <w:tcW w:w="1701" w:type="dxa"/>
            <w:vAlign w:val="center"/>
          </w:tcPr>
          <w:p w14:paraId="0BA8F35B" w14:textId="77777777" w:rsidR="00724FD4" w:rsidRPr="00177D75" w:rsidRDefault="00724FD4" w:rsidP="00EC0E10">
            <w:pPr>
              <w:pStyle w:val="ListParagraph"/>
              <w:ind w:left="0"/>
              <w:jc w:val="center"/>
            </w:pPr>
            <w:r w:rsidRPr="00177D75">
              <w:t>H</w:t>
            </w:r>
            <w:r w:rsidRPr="00177D75">
              <w:rPr>
                <w:vertAlign w:val="subscript"/>
              </w:rPr>
              <w:t>a</w:t>
            </w:r>
            <w:r w:rsidRPr="00177D75">
              <w:t xml:space="preserve"> diterima</w:t>
            </w:r>
          </w:p>
        </w:tc>
      </w:tr>
    </w:tbl>
    <w:p w14:paraId="0B3CB130" w14:textId="77777777" w:rsidR="00724FD4" w:rsidRDefault="00724FD4" w:rsidP="00724FD4">
      <w:pPr>
        <w:tabs>
          <w:tab w:val="left" w:pos="567"/>
        </w:tabs>
        <w:jc w:val="both"/>
        <w:rPr>
          <w:rFonts w:eastAsiaTheme="minorEastAsia"/>
        </w:rPr>
      </w:pPr>
      <w:r w:rsidRPr="00177D75">
        <w:rPr>
          <w:rFonts w:eastAsiaTheme="minorEastAsia"/>
          <w:color w:val="262626" w:themeColor="text1" w:themeTint="D9"/>
        </w:rPr>
        <w:t>Sumber:</w:t>
      </w:r>
      <w:r w:rsidRPr="00177D75">
        <w:rPr>
          <w:rFonts w:eastAsiaTheme="minorEastAsia"/>
          <w:i/>
          <w:color w:val="262626" w:themeColor="text1" w:themeTint="D9"/>
        </w:rPr>
        <w:t xml:space="preserve"> Software</w:t>
      </w:r>
      <w:r w:rsidRPr="00177D75">
        <w:rPr>
          <w:rFonts w:eastAsiaTheme="minorEastAsia"/>
          <w:i/>
        </w:rPr>
        <w:t xml:space="preserve"> SPSS 17.0 for windows </w:t>
      </w:r>
      <w:r w:rsidRPr="00177D75">
        <w:rPr>
          <w:rFonts w:eastAsiaTheme="minorEastAsia"/>
        </w:rPr>
        <w:t>(2019)</w:t>
      </w:r>
    </w:p>
    <w:p w14:paraId="32663AE8" w14:textId="77777777" w:rsidR="00724FD4" w:rsidRPr="00177D75" w:rsidRDefault="00724FD4" w:rsidP="00724FD4">
      <w:pPr>
        <w:tabs>
          <w:tab w:val="left" w:pos="567"/>
        </w:tabs>
        <w:jc w:val="both"/>
        <w:rPr>
          <w:rFonts w:eastAsiaTheme="minorEastAsia"/>
        </w:rPr>
      </w:pPr>
    </w:p>
    <w:p w14:paraId="16EEA02A" w14:textId="29E02750" w:rsidR="00724FD4" w:rsidRPr="00F4375F" w:rsidRDefault="00724FD4" w:rsidP="00724FD4">
      <w:pPr>
        <w:tabs>
          <w:tab w:val="left" w:pos="567"/>
        </w:tabs>
        <w:jc w:val="both"/>
        <w:rPr>
          <w:rFonts w:eastAsiaTheme="minorEastAsia"/>
          <w:lang w:val="en-US"/>
        </w:rPr>
      </w:pPr>
      <w:r>
        <w:rPr>
          <w:rFonts w:eastAsiaTheme="minorEastAsia"/>
        </w:rPr>
        <w:tab/>
      </w:r>
      <w:r w:rsidR="003C0742" w:rsidRPr="003C0742">
        <w:rPr>
          <w:rFonts w:eastAsiaTheme="minorEastAsia"/>
        </w:rPr>
        <w:t>Based on the data in Table 6, a significant value of 0.03 &gt; 0.05 is obtained so that Ha is accepted, which means that there is a comparison of cognitive learning outcomes between the TGT and STAD learning models. This is supported by research conducted by Widyawati, (2016: 67) which concludes that there are differences in students' cognitive and affective learning achievement in the use of cooperative learning models of the TGT and STAD types on the subject matter of thermochemistry. The use of the TGT type of cooperative learning model provides better learning achievement in the cognitive and affective domains than the STAD type cooperative learning model. Research conducted by Menanti (2015:48)</w:t>
      </w:r>
      <w:r w:rsidR="00D956F6">
        <w:rPr>
          <w:rFonts w:eastAsiaTheme="minorEastAsia"/>
          <w:lang w:val="en-US"/>
        </w:rPr>
        <w:t>; Frianto, dkk. (2016)</w:t>
      </w:r>
      <w:r w:rsidR="00774F46">
        <w:rPr>
          <w:rFonts w:eastAsiaTheme="minorEastAsia"/>
          <w:lang w:val="en-US"/>
        </w:rPr>
        <w:t xml:space="preserve">; Imanda, dkk. (2021) </w:t>
      </w:r>
      <w:r w:rsidR="00D956F6">
        <w:rPr>
          <w:rFonts w:eastAsiaTheme="minorEastAsia"/>
          <w:lang w:val="en-US"/>
        </w:rPr>
        <w:t xml:space="preserve">dan </w:t>
      </w:r>
      <w:r w:rsidR="00D956F6">
        <w:t>Tiantong</w:t>
      </w:r>
      <w:r w:rsidR="00D956F6">
        <w:rPr>
          <w:lang w:val="en-US"/>
        </w:rPr>
        <w:t xml:space="preserve"> </w:t>
      </w:r>
      <w:r w:rsidR="00D956F6">
        <w:t>&amp; Teemuangsai</w:t>
      </w:r>
      <w:r w:rsidR="00D956F6">
        <w:rPr>
          <w:lang w:val="en-US"/>
        </w:rPr>
        <w:t xml:space="preserve"> (2013)</w:t>
      </w:r>
      <w:r w:rsidR="003C0742" w:rsidRPr="003C0742">
        <w:rPr>
          <w:rFonts w:eastAsiaTheme="minorEastAsia"/>
        </w:rPr>
        <w:t xml:space="preserve"> concluded that the ability to understand mathematical concepts of students who used the TGT type cooperative learning model was better than the STAD type cooperative learning model at Khalifah Annizam Islamic Elementary School.</w:t>
      </w:r>
      <w:r w:rsidR="00F4375F">
        <w:rPr>
          <w:rFonts w:eastAsiaTheme="minorEastAsia"/>
          <w:lang w:val="en-US"/>
        </w:rPr>
        <w:t xml:space="preserve">  </w:t>
      </w:r>
    </w:p>
    <w:p w14:paraId="71FA2B80" w14:textId="77777777" w:rsidR="003C0742" w:rsidRDefault="003C0742" w:rsidP="00724FD4">
      <w:pPr>
        <w:tabs>
          <w:tab w:val="left" w:pos="567"/>
        </w:tabs>
        <w:jc w:val="both"/>
        <w:rPr>
          <w:rFonts w:eastAsiaTheme="minorEastAsia"/>
        </w:rPr>
      </w:pPr>
    </w:p>
    <w:p w14:paraId="2BAB6A4C" w14:textId="5B0FB569" w:rsidR="0015669F" w:rsidRPr="009B09AE" w:rsidRDefault="00724FD4" w:rsidP="009B09AE">
      <w:pPr>
        <w:pBdr>
          <w:top w:val="nil"/>
          <w:left w:val="nil"/>
          <w:bottom w:val="nil"/>
          <w:right w:val="nil"/>
          <w:between w:val="nil"/>
        </w:pBdr>
        <w:jc w:val="both"/>
        <w:rPr>
          <w:rFonts w:eastAsiaTheme="minorEastAsia"/>
        </w:rPr>
      </w:pPr>
      <w:r>
        <w:rPr>
          <w:rFonts w:eastAsiaTheme="minorEastAsia"/>
        </w:rPr>
        <w:lastRenderedPageBreak/>
        <w:tab/>
      </w:r>
      <w:r w:rsidR="00F4375F" w:rsidRPr="00F4375F">
        <w:rPr>
          <w:rFonts w:eastAsiaTheme="minorEastAsia"/>
        </w:rPr>
        <w:t>Based on the average value of the final test in the experimental class, the STAD learning model is 73.39 and in the experimental class, the TGT learning model is 79.39. The results of research conducted by Ahriani (2014: 8) also show that there are differences in chemistry learning outcomes between students who are taught with the STAD type cooperative learning model and students who are taught using the TGT type cooperative learning model on the subject matter of chemical bonds, on average The average learning outcomes of students taught with the TGT type cooperative learning model with the help of question cards were higher than those taught with the STAD learning model with the help of question cards. Similar to the research above, the results of research conducted by Sari (2013:1228)</w:t>
      </w:r>
      <w:r w:rsidR="00F00ACF">
        <w:rPr>
          <w:rFonts w:eastAsiaTheme="minorEastAsia"/>
          <w:lang w:val="en-US"/>
        </w:rPr>
        <w:t xml:space="preserve">; </w:t>
      </w:r>
      <w:r w:rsidR="00F00ACF">
        <w:t>Qurniawati</w:t>
      </w:r>
      <w:r w:rsidR="00F00ACF">
        <w:rPr>
          <w:lang w:val="en-US"/>
        </w:rPr>
        <w:t xml:space="preserve"> </w:t>
      </w:r>
      <w:r w:rsidR="00F00ACF">
        <w:t>&amp; Saputro</w:t>
      </w:r>
      <w:r w:rsidR="00F00ACF">
        <w:rPr>
          <w:lang w:val="en-US"/>
        </w:rPr>
        <w:t xml:space="preserve"> (2013); dan </w:t>
      </w:r>
      <w:r w:rsidR="00F00ACF">
        <w:t>Günter</w:t>
      </w:r>
      <w:r w:rsidR="00F00ACF">
        <w:rPr>
          <w:lang w:val="en-US"/>
        </w:rPr>
        <w:t xml:space="preserve"> (2017)</w:t>
      </w:r>
      <w:r w:rsidR="00F4375F" w:rsidRPr="00F4375F">
        <w:rPr>
          <w:rFonts w:eastAsiaTheme="minorEastAsia"/>
        </w:rPr>
        <w:t xml:space="preserve"> also showed that the learning outcomes of students who received learning with the TGT model with Tournament-Question Cards media were better than the learning outcomes of students who received learning with conventional models. Some of the opinions and research results above are in line with the results of this study, students who are taught with the TGT learning model get better cognitive learning outcomes. Through TGT steps such as presenting material by the teacher then teamwork, games, tournaments, and awards, students can learn while playing and can improve learning outcomes.</w:t>
      </w:r>
      <w:r w:rsidR="00BA0A27">
        <w:rPr>
          <w:rFonts w:eastAsiaTheme="minorEastAsia"/>
          <w:lang w:val="en-US"/>
        </w:rPr>
        <w:t xml:space="preserve"> </w:t>
      </w:r>
      <w:r w:rsidR="00BA0A27" w:rsidRPr="00BA0A27">
        <w:rPr>
          <w:rFonts w:eastAsiaTheme="minorEastAsia"/>
          <w:lang w:val="en-US"/>
        </w:rPr>
        <w:t>Further Sholichah, et al. (2018)</w:t>
      </w:r>
      <w:r w:rsidR="00D04FF6">
        <w:rPr>
          <w:rFonts w:eastAsiaTheme="minorEastAsia"/>
          <w:lang w:val="en-US"/>
        </w:rPr>
        <w:t xml:space="preserve"> dan Van (2015)</w:t>
      </w:r>
      <w:r w:rsidR="00D956F6">
        <w:rPr>
          <w:rFonts w:eastAsiaTheme="minorEastAsia"/>
          <w:lang w:val="en-US"/>
        </w:rPr>
        <w:t xml:space="preserve"> </w:t>
      </w:r>
      <w:r w:rsidR="00BA0A27" w:rsidRPr="00BA0A27">
        <w:rPr>
          <w:rFonts w:eastAsiaTheme="minorEastAsia"/>
          <w:lang w:val="en-US"/>
        </w:rPr>
        <w:t xml:space="preserve"> stated that implementing the STAD and TGT learning models in the hope of increasing student motivation and learning outcomes which was seen to increase in cycle I with high criteria and cycle II with very high criteria, besides that after the application of the STAD and TGT models, all students passed the eye lessons because they get a minimum standard score.</w:t>
      </w:r>
    </w:p>
    <w:p w14:paraId="62008E39" w14:textId="77777777" w:rsidR="00573699" w:rsidRDefault="00573699">
      <w:pPr>
        <w:pBdr>
          <w:top w:val="nil"/>
          <w:left w:val="nil"/>
          <w:bottom w:val="nil"/>
          <w:right w:val="nil"/>
          <w:between w:val="nil"/>
        </w:pBdr>
        <w:rPr>
          <w:b/>
          <w:color w:val="000000"/>
        </w:rPr>
      </w:pPr>
    </w:p>
    <w:p w14:paraId="4A5D1884" w14:textId="77777777" w:rsidR="00573699" w:rsidRDefault="00ED482A" w:rsidP="009B09AE">
      <w:pPr>
        <w:pBdr>
          <w:top w:val="nil"/>
          <w:left w:val="nil"/>
          <w:bottom w:val="nil"/>
          <w:right w:val="nil"/>
          <w:between w:val="nil"/>
        </w:pBdr>
        <w:spacing w:line="360" w:lineRule="auto"/>
        <w:rPr>
          <w:b/>
          <w:color w:val="000000"/>
        </w:rPr>
      </w:pPr>
      <w:r>
        <w:rPr>
          <w:b/>
          <w:color w:val="000000"/>
        </w:rPr>
        <w:t>CONCLUSION</w:t>
      </w:r>
    </w:p>
    <w:p w14:paraId="7C4024F8" w14:textId="3D0927E4" w:rsidR="00724FD4" w:rsidRDefault="00F51AA3">
      <w:pPr>
        <w:pBdr>
          <w:top w:val="nil"/>
          <w:left w:val="nil"/>
          <w:bottom w:val="nil"/>
          <w:right w:val="nil"/>
          <w:between w:val="nil"/>
        </w:pBdr>
        <w:rPr>
          <w:rStyle w:val="fontstyle01"/>
          <w:rFonts w:eastAsiaTheme="minorEastAsia"/>
          <w:bCs/>
          <w:color w:val="262626" w:themeColor="text1" w:themeTint="D9"/>
        </w:rPr>
      </w:pPr>
      <w:r w:rsidRPr="00F51AA3">
        <w:rPr>
          <w:rStyle w:val="fontstyle01"/>
          <w:rFonts w:eastAsiaTheme="minorEastAsia"/>
          <w:bCs/>
          <w:color w:val="262626" w:themeColor="text1" w:themeTint="D9"/>
        </w:rPr>
        <w:t>There is a comparison of cognitive and psychomotor learning outcomes of students who use the TGT learning model equipped with question cards media with students who use the STAD type equipped with question cards media on chemical bonding material. This is as shown by the t-test analysis, that sig. 0.03 &lt;0.05 which means H0 is rejected and Ha is accepted.</w:t>
      </w:r>
    </w:p>
    <w:p w14:paraId="234C1CCA" w14:textId="77777777" w:rsidR="00B53502" w:rsidRDefault="00B53502">
      <w:pPr>
        <w:pBdr>
          <w:top w:val="nil"/>
          <w:left w:val="nil"/>
          <w:bottom w:val="nil"/>
          <w:right w:val="nil"/>
          <w:between w:val="nil"/>
        </w:pBdr>
        <w:rPr>
          <w:rStyle w:val="fontstyle01"/>
          <w:rFonts w:eastAsiaTheme="minorEastAsia"/>
          <w:bCs/>
          <w:color w:val="262626" w:themeColor="text1" w:themeTint="D9"/>
          <w:lang w:val="en-US"/>
        </w:rPr>
      </w:pPr>
    </w:p>
    <w:p w14:paraId="321F0B23" w14:textId="77777777" w:rsidR="00724FD4" w:rsidRPr="00724FD4" w:rsidRDefault="00724FD4">
      <w:pPr>
        <w:pBdr>
          <w:top w:val="nil"/>
          <w:left w:val="nil"/>
          <w:bottom w:val="nil"/>
          <w:right w:val="nil"/>
          <w:between w:val="nil"/>
        </w:pBdr>
        <w:rPr>
          <w:b/>
          <w:color w:val="000000"/>
          <w:lang w:val="en-US"/>
        </w:rPr>
      </w:pPr>
    </w:p>
    <w:p w14:paraId="1877E3F9" w14:textId="7F38B1C7" w:rsidR="00724FD4" w:rsidRDefault="00ED482A" w:rsidP="00B53502">
      <w:pPr>
        <w:pBdr>
          <w:top w:val="nil"/>
          <w:left w:val="nil"/>
          <w:bottom w:val="nil"/>
          <w:right w:val="nil"/>
          <w:between w:val="nil"/>
        </w:pBdr>
        <w:spacing w:line="360" w:lineRule="auto"/>
        <w:rPr>
          <w:b/>
          <w:color w:val="000000"/>
        </w:rPr>
      </w:pPr>
      <w:r>
        <w:rPr>
          <w:b/>
          <w:color w:val="000000"/>
        </w:rPr>
        <w:t>REFERENCES</w:t>
      </w:r>
    </w:p>
    <w:p w14:paraId="4A717F6E" w14:textId="77777777" w:rsidR="00724FD4" w:rsidRDefault="00724FD4" w:rsidP="00724FD4">
      <w:pPr>
        <w:ind w:left="567" w:hanging="567"/>
        <w:jc w:val="both"/>
        <w:rPr>
          <w:color w:val="262626" w:themeColor="text1" w:themeTint="D9"/>
        </w:rPr>
      </w:pPr>
      <w:r>
        <w:rPr>
          <w:color w:val="262626" w:themeColor="text1" w:themeTint="D9"/>
        </w:rPr>
        <w:t xml:space="preserve">Abdillah, Z. 2018. </w:t>
      </w:r>
      <w:r w:rsidRPr="00177D75">
        <w:rPr>
          <w:color w:val="262626" w:themeColor="text1" w:themeTint="D9"/>
        </w:rPr>
        <w:t>“Efektivitas Model Pembelajaran Kooperatif Tipe Teams Games Tournament (TGT) Berbantuan Media Kartu Soal Pada Sub Materi Ikatan Kovalen Kelas X MIA Di SMA Islam Haruniyah Pontianak. Ar-Razi</w:t>
      </w:r>
      <w:r w:rsidRPr="00177D75">
        <w:rPr>
          <w:i/>
          <w:color w:val="262626" w:themeColor="text1" w:themeTint="D9"/>
        </w:rPr>
        <w:t xml:space="preserve">”.Jurnal Ilmiah Ar-Razi, </w:t>
      </w:r>
      <w:r w:rsidRPr="00177D75">
        <w:rPr>
          <w:color w:val="262626" w:themeColor="text1" w:themeTint="D9"/>
        </w:rPr>
        <w:t>Volume 6, No. 2, Agustus 2018:18-26.</w:t>
      </w:r>
    </w:p>
    <w:p w14:paraId="7F326CBC" w14:textId="77777777" w:rsidR="00724FD4" w:rsidRDefault="00724FD4" w:rsidP="00724FD4">
      <w:pPr>
        <w:ind w:left="567" w:hanging="567"/>
        <w:jc w:val="both"/>
        <w:rPr>
          <w:color w:val="262626" w:themeColor="text1" w:themeTint="D9"/>
        </w:rPr>
      </w:pPr>
    </w:p>
    <w:p w14:paraId="4C8256F7" w14:textId="77777777" w:rsidR="00724FD4" w:rsidRDefault="00724FD4" w:rsidP="00724FD4">
      <w:pPr>
        <w:ind w:left="567" w:hanging="567"/>
        <w:jc w:val="both"/>
        <w:rPr>
          <w:color w:val="262626" w:themeColor="text1" w:themeTint="D9"/>
        </w:rPr>
      </w:pPr>
      <w:r>
        <w:rPr>
          <w:color w:val="262626" w:themeColor="text1" w:themeTint="D9"/>
        </w:rPr>
        <w:t xml:space="preserve">Ahriani, F. 2014. “Pengaruh Model Pembelajaan Kooperatif Dan Gaya Belajar Terhadap Hasil Belajar Kimia Peserta Didik Kelas X SMK Negeri 2 Bantaeng”. </w:t>
      </w:r>
      <w:r w:rsidRPr="00750097">
        <w:rPr>
          <w:i/>
          <w:color w:val="262626" w:themeColor="text1" w:themeTint="D9"/>
        </w:rPr>
        <w:t>Chemica</w:t>
      </w:r>
      <w:r>
        <w:rPr>
          <w:color w:val="262626" w:themeColor="text1" w:themeTint="D9"/>
        </w:rPr>
        <w:t>, Volume 14, No. 1, 2014: 1-9.</w:t>
      </w:r>
    </w:p>
    <w:p w14:paraId="3F4F2682" w14:textId="77777777" w:rsidR="00724FD4" w:rsidRDefault="00724FD4" w:rsidP="00724FD4">
      <w:pPr>
        <w:ind w:left="567" w:hanging="567"/>
        <w:jc w:val="both"/>
        <w:rPr>
          <w:color w:val="262626" w:themeColor="text1" w:themeTint="D9"/>
        </w:rPr>
      </w:pPr>
    </w:p>
    <w:p w14:paraId="5A852ED4" w14:textId="77777777" w:rsidR="00724FD4" w:rsidRDefault="00724FD4" w:rsidP="00724FD4">
      <w:pPr>
        <w:ind w:left="567" w:hanging="567"/>
        <w:jc w:val="both"/>
        <w:rPr>
          <w:color w:val="262626" w:themeColor="text1" w:themeTint="D9"/>
        </w:rPr>
      </w:pPr>
      <w:r>
        <w:rPr>
          <w:color w:val="262626" w:themeColor="text1" w:themeTint="D9"/>
        </w:rPr>
        <w:t xml:space="preserve">Aka, K.A. 2015. “Komparisasi Penerapan Model Stad Dan Tgt Terhadap Hasil Belajar Dan Aktivitas Siswa (Studi Pada Siswa Kelas V Mata Pelajaran PKN Di SDN Bendo 1, Kec. Pare, Kab. Kediri”. </w:t>
      </w:r>
      <w:r w:rsidRPr="00693BD6">
        <w:rPr>
          <w:i/>
          <w:color w:val="262626" w:themeColor="text1" w:themeTint="D9"/>
        </w:rPr>
        <w:t>Jurnal Profesi Pendidikan Dasar</w:t>
      </w:r>
      <w:r>
        <w:rPr>
          <w:color w:val="262626" w:themeColor="text1" w:themeTint="D9"/>
        </w:rPr>
        <w:t xml:space="preserve">, volume 2, No. 2, Desember 2015:103 – 111. </w:t>
      </w:r>
    </w:p>
    <w:p w14:paraId="4262608B" w14:textId="77777777" w:rsidR="00724FD4" w:rsidRDefault="00724FD4" w:rsidP="00724FD4">
      <w:pPr>
        <w:ind w:left="567" w:hanging="567"/>
        <w:jc w:val="both"/>
        <w:rPr>
          <w:color w:val="262626" w:themeColor="text1" w:themeTint="D9"/>
        </w:rPr>
      </w:pPr>
    </w:p>
    <w:p w14:paraId="531E930E" w14:textId="77777777" w:rsidR="00724FD4" w:rsidRDefault="00724FD4" w:rsidP="00724FD4">
      <w:pPr>
        <w:ind w:left="567" w:hanging="567"/>
        <w:jc w:val="both"/>
      </w:pPr>
      <w:r>
        <w:lastRenderedPageBreak/>
        <w:t xml:space="preserve">Ariani, T., dan Agustini, D. 2018. “Model Pembelajaran </w:t>
      </w:r>
      <w:r w:rsidRPr="00621736">
        <w:rPr>
          <w:i/>
        </w:rPr>
        <w:t>Student Team Achievement Division</w:t>
      </w:r>
      <w:r>
        <w:t xml:space="preserve"> (Stad) Dan Model Pembelajaran  </w:t>
      </w:r>
      <w:r w:rsidRPr="00621736">
        <w:rPr>
          <w:i/>
        </w:rPr>
        <w:t>Team Games Tournament</w:t>
      </w:r>
      <w:r>
        <w:t xml:space="preserve"> (TGT): Dampak Terhadap Hasil Belajar Fisika”. </w:t>
      </w:r>
      <w:r w:rsidRPr="00621736">
        <w:rPr>
          <w:i/>
        </w:rPr>
        <w:t>Science And Physics Education Journal</w:t>
      </w:r>
      <w:r>
        <w:t>, Volume 1, No. 2, Juni 2018:65-77.</w:t>
      </w:r>
    </w:p>
    <w:p w14:paraId="56FC62C4" w14:textId="77777777" w:rsidR="00724FD4" w:rsidRDefault="00724FD4" w:rsidP="00724FD4">
      <w:pPr>
        <w:ind w:left="567" w:hanging="567"/>
        <w:jc w:val="both"/>
      </w:pPr>
    </w:p>
    <w:p w14:paraId="2B65DB83" w14:textId="77777777" w:rsidR="00724FD4" w:rsidRPr="00177D75" w:rsidRDefault="00724FD4" w:rsidP="00724FD4">
      <w:pPr>
        <w:ind w:left="567" w:hanging="567"/>
        <w:jc w:val="both"/>
        <w:rPr>
          <w:color w:val="262626" w:themeColor="text1" w:themeTint="D9"/>
        </w:rPr>
      </w:pPr>
      <w:r>
        <w:t xml:space="preserve">Astuti, S. P., Mulyani, B., &amp; Utami, B. 2017. “Penerapan Model Pembelajaran Teams Games Tournament (TGT) Untuk Meningkatkan Minat Belajar Dan Prestasi Belajar Siswa Pada Materi Kelarutan Dan Hasil Kali Kelarutan Kelas XI MIA 3 SMA AlIslam 1 Surakarta Tahun Ajaran 2015/2016”. </w:t>
      </w:r>
      <w:r w:rsidRPr="00621736">
        <w:rPr>
          <w:i/>
        </w:rPr>
        <w:t>Jurnal Pendidikan Kimia</w:t>
      </w:r>
      <w:r>
        <w:t>, Volume 6, No. 2, 2017:109 – 118.</w:t>
      </w:r>
    </w:p>
    <w:p w14:paraId="7DA2F00D" w14:textId="77777777" w:rsidR="00724FD4" w:rsidRPr="00177D75" w:rsidRDefault="00724FD4" w:rsidP="00724FD4">
      <w:pPr>
        <w:jc w:val="both"/>
      </w:pPr>
    </w:p>
    <w:p w14:paraId="6EE01D27" w14:textId="77777777" w:rsidR="00724FD4" w:rsidRPr="00177D75" w:rsidRDefault="00724FD4" w:rsidP="00724FD4">
      <w:pPr>
        <w:ind w:left="567" w:hanging="567"/>
        <w:jc w:val="both"/>
      </w:pPr>
      <w:r w:rsidRPr="00177D75">
        <w:t xml:space="preserve">Apriyono, A., &amp; Taman, A. 2013. “Analisis </w:t>
      </w:r>
      <w:r w:rsidRPr="00177D75">
        <w:rPr>
          <w:i/>
        </w:rPr>
        <w:t>Overreaction</w:t>
      </w:r>
      <w:r w:rsidRPr="00177D75">
        <w:t xml:space="preserve"> Pada Saham Perusahaan Manafaktur Di Bursa Efek Indonesia (BEI) Periode 2005-2009”. </w:t>
      </w:r>
      <w:r w:rsidRPr="00177D75">
        <w:rPr>
          <w:i/>
        </w:rPr>
        <w:t xml:space="preserve">Jurnal Nomina, </w:t>
      </w:r>
      <w:r w:rsidRPr="00177D75">
        <w:t xml:space="preserve">Volume 2, No.2, 2013. </w:t>
      </w:r>
    </w:p>
    <w:p w14:paraId="26CB59E1" w14:textId="77777777" w:rsidR="00724FD4" w:rsidRPr="00177D75" w:rsidRDefault="00724FD4" w:rsidP="00724FD4">
      <w:pPr>
        <w:jc w:val="both"/>
        <w:rPr>
          <w:i/>
          <w:color w:val="262626" w:themeColor="text1" w:themeTint="D9"/>
        </w:rPr>
      </w:pPr>
    </w:p>
    <w:p w14:paraId="6243D830" w14:textId="77777777" w:rsidR="00724FD4" w:rsidRPr="00572781" w:rsidRDefault="00724FD4" w:rsidP="00724FD4">
      <w:pPr>
        <w:ind w:left="567" w:hanging="567"/>
        <w:jc w:val="both"/>
        <w:rPr>
          <w:color w:val="262626" w:themeColor="text1" w:themeTint="D9"/>
        </w:rPr>
      </w:pPr>
      <w:r w:rsidRPr="00177D75">
        <w:rPr>
          <w:color w:val="262626" w:themeColor="text1" w:themeTint="D9"/>
        </w:rPr>
        <w:t xml:space="preserve">Astuti, S. P., Mulyani, B., &amp; Utami, B. 2017. “Penerapan Model Pembelajaran Teams Games Tournament (TGT) untuk Meningkatkan Minat Belajar dan Prestasi Belajar Siswa pada Materi Kelarutan dan Hasil Kali Kelarutan Kelas XI MIA 3 SMA Al Islam 1 Surakarta Tahun ajaran 2015/2016”. </w:t>
      </w:r>
      <w:r w:rsidRPr="00177D75">
        <w:rPr>
          <w:i/>
          <w:color w:val="262626" w:themeColor="text1" w:themeTint="D9"/>
        </w:rPr>
        <w:t xml:space="preserve">Jurnal Pendidikan Kimia, </w:t>
      </w:r>
      <w:r w:rsidRPr="00177D75">
        <w:rPr>
          <w:color w:val="262626" w:themeColor="text1" w:themeTint="D9"/>
        </w:rPr>
        <w:t xml:space="preserve">Volume 6, No.2, 2017: 109-118. </w:t>
      </w:r>
    </w:p>
    <w:p w14:paraId="5FC9A644" w14:textId="77777777" w:rsidR="00724FD4" w:rsidRPr="00177D75" w:rsidRDefault="00724FD4" w:rsidP="00724FD4">
      <w:pPr>
        <w:pStyle w:val="ListParagraph"/>
        <w:tabs>
          <w:tab w:val="left" w:pos="3045"/>
          <w:tab w:val="center" w:pos="4432"/>
        </w:tabs>
        <w:autoSpaceDE w:val="0"/>
        <w:autoSpaceDN w:val="0"/>
        <w:adjustRightInd w:val="0"/>
        <w:ind w:left="927" w:hanging="927"/>
        <w:rPr>
          <w:color w:val="262626" w:themeColor="text1" w:themeTint="D9"/>
        </w:rPr>
      </w:pPr>
    </w:p>
    <w:p w14:paraId="26C9998B" w14:textId="77777777" w:rsidR="000630D7" w:rsidRDefault="00724FD4" w:rsidP="00B53502">
      <w:pPr>
        <w:pStyle w:val="ListParagraph"/>
        <w:tabs>
          <w:tab w:val="left" w:pos="3045"/>
          <w:tab w:val="center" w:pos="4432"/>
        </w:tabs>
        <w:autoSpaceDE w:val="0"/>
        <w:autoSpaceDN w:val="0"/>
        <w:adjustRightInd w:val="0"/>
        <w:ind w:left="927" w:hanging="927"/>
        <w:jc w:val="both"/>
        <w:rPr>
          <w:color w:val="262626" w:themeColor="text1" w:themeTint="D9"/>
        </w:rPr>
      </w:pPr>
      <w:r w:rsidRPr="00177D75">
        <w:rPr>
          <w:color w:val="262626" w:themeColor="text1" w:themeTint="D9"/>
        </w:rPr>
        <w:t xml:space="preserve">Damayanti, S. 2017. “Pengaruh Model Pembelajaran Kooperatif Tipe TGT (Teams Games Tournament) Terhadap Hasil Belajar Matematika”. </w:t>
      </w:r>
      <w:r w:rsidRPr="000D5909">
        <w:rPr>
          <w:i/>
          <w:color w:val="262626" w:themeColor="text1" w:themeTint="D9"/>
        </w:rPr>
        <w:t>Jurnal Kajian Pendidikan Matematika</w:t>
      </w:r>
      <w:r w:rsidRPr="00177D75">
        <w:rPr>
          <w:color w:val="262626" w:themeColor="text1" w:themeTint="D9"/>
        </w:rPr>
        <w:t>, Volume 2, No. 02, 2017.</w:t>
      </w:r>
    </w:p>
    <w:p w14:paraId="66A77494" w14:textId="77777777" w:rsidR="000630D7" w:rsidRDefault="000630D7" w:rsidP="00B53502">
      <w:pPr>
        <w:pStyle w:val="ListParagraph"/>
        <w:tabs>
          <w:tab w:val="left" w:pos="3045"/>
          <w:tab w:val="center" w:pos="4432"/>
        </w:tabs>
        <w:autoSpaceDE w:val="0"/>
        <w:autoSpaceDN w:val="0"/>
        <w:adjustRightInd w:val="0"/>
        <w:ind w:left="927" w:hanging="927"/>
        <w:jc w:val="both"/>
        <w:rPr>
          <w:color w:val="262626" w:themeColor="text1" w:themeTint="D9"/>
        </w:rPr>
      </w:pPr>
    </w:p>
    <w:p w14:paraId="70FD6F33" w14:textId="77777777" w:rsidR="00BB3B9D" w:rsidRDefault="000630D7" w:rsidP="00B53502">
      <w:pPr>
        <w:pStyle w:val="ListParagraph"/>
        <w:tabs>
          <w:tab w:val="left" w:pos="3045"/>
          <w:tab w:val="center" w:pos="4432"/>
        </w:tabs>
        <w:autoSpaceDE w:val="0"/>
        <w:autoSpaceDN w:val="0"/>
        <w:adjustRightInd w:val="0"/>
        <w:ind w:left="927" w:hanging="927"/>
        <w:jc w:val="both"/>
      </w:pPr>
      <w:r w:rsidRPr="00C91F2C">
        <w:t xml:space="preserve">Frianto., Soetjipto, B.E., &amp; Amirudin, A. 2016. The Implementation of Cooperative Learning Model Team Game Tournament and Fan N Pick To Enhance Motivation and Social Studies Learning Outcomes. </w:t>
      </w:r>
      <w:r w:rsidRPr="00C91F2C">
        <w:rPr>
          <w:i/>
          <w:iCs/>
        </w:rPr>
        <w:t>IOSR Journal of Humanities and Social Science (IOSR-JHSS)</w:t>
      </w:r>
      <w:r w:rsidRPr="00C91F2C">
        <w:t>, 21(5): 74-81</w:t>
      </w:r>
    </w:p>
    <w:p w14:paraId="244BD10F" w14:textId="77777777" w:rsidR="00BB3B9D" w:rsidRDefault="00BB3B9D" w:rsidP="00B53502">
      <w:pPr>
        <w:pStyle w:val="ListParagraph"/>
        <w:tabs>
          <w:tab w:val="left" w:pos="3045"/>
          <w:tab w:val="center" w:pos="4432"/>
        </w:tabs>
        <w:autoSpaceDE w:val="0"/>
        <w:autoSpaceDN w:val="0"/>
        <w:adjustRightInd w:val="0"/>
        <w:ind w:left="927" w:hanging="927"/>
        <w:jc w:val="both"/>
      </w:pPr>
    </w:p>
    <w:p w14:paraId="262F7581" w14:textId="77777777" w:rsidR="00BB3B9D" w:rsidRDefault="00BB3B9D" w:rsidP="00B53502">
      <w:pPr>
        <w:pStyle w:val="ListParagraph"/>
        <w:tabs>
          <w:tab w:val="left" w:pos="3045"/>
          <w:tab w:val="center" w:pos="4432"/>
        </w:tabs>
        <w:autoSpaceDE w:val="0"/>
        <w:autoSpaceDN w:val="0"/>
        <w:adjustRightInd w:val="0"/>
        <w:ind w:left="927" w:hanging="927"/>
        <w:jc w:val="both"/>
      </w:pPr>
      <w:r w:rsidRPr="00C91F2C">
        <w:t xml:space="preserve">Günter, T., Akkuzu, N., &amp; Alpat, Ş. (2017). Understanding ‘green chemistry’and ‘sustainability’: An example of problem-based learning (PBL). </w:t>
      </w:r>
      <w:r w:rsidRPr="00C91F2C">
        <w:rPr>
          <w:i/>
          <w:iCs/>
        </w:rPr>
        <w:t>Research in Science &amp; Technological Education</w:t>
      </w:r>
      <w:r w:rsidRPr="00C91F2C">
        <w:t>, 35(4): 500-520.</w:t>
      </w:r>
    </w:p>
    <w:p w14:paraId="0B78C7C4" w14:textId="77777777" w:rsidR="00BB3B9D" w:rsidRDefault="00BB3B9D" w:rsidP="00B53502">
      <w:pPr>
        <w:pStyle w:val="ListParagraph"/>
        <w:tabs>
          <w:tab w:val="left" w:pos="3045"/>
          <w:tab w:val="center" w:pos="4432"/>
        </w:tabs>
        <w:autoSpaceDE w:val="0"/>
        <w:autoSpaceDN w:val="0"/>
        <w:adjustRightInd w:val="0"/>
        <w:ind w:left="927" w:hanging="927"/>
        <w:jc w:val="both"/>
      </w:pPr>
    </w:p>
    <w:p w14:paraId="1B6B7D01" w14:textId="77777777" w:rsidR="005115F9" w:rsidRDefault="00BB3B9D" w:rsidP="005115F9">
      <w:pPr>
        <w:pStyle w:val="ListParagraph"/>
        <w:tabs>
          <w:tab w:val="left" w:pos="3045"/>
          <w:tab w:val="center" w:pos="4432"/>
        </w:tabs>
        <w:autoSpaceDE w:val="0"/>
        <w:autoSpaceDN w:val="0"/>
        <w:adjustRightInd w:val="0"/>
        <w:ind w:left="927" w:hanging="927"/>
        <w:jc w:val="both"/>
      </w:pPr>
      <w:r w:rsidRPr="00C91F2C">
        <w:t xml:space="preserve">Hasibuan, R. S., Damanik, M., &amp; Nasution, H.  2019. Differences in Learning Models of Problem Based Learning and NHT Cooperative Type with Card Media Assistance to Student Learning Outcomes and Activities in Naming Chemical Compounds. </w:t>
      </w:r>
      <w:r w:rsidRPr="00C91F2C">
        <w:rPr>
          <w:i/>
          <w:iCs/>
        </w:rPr>
        <w:t xml:space="preserve">Journal of Transformative Education and Educational Leadership, </w:t>
      </w:r>
      <w:r w:rsidRPr="00C91F2C">
        <w:t>1(1): 18-22</w:t>
      </w:r>
    </w:p>
    <w:p w14:paraId="7F28E7D7" w14:textId="77777777" w:rsidR="005115F9" w:rsidRDefault="005115F9" w:rsidP="005115F9">
      <w:pPr>
        <w:pStyle w:val="ListParagraph"/>
        <w:tabs>
          <w:tab w:val="left" w:pos="3045"/>
          <w:tab w:val="center" w:pos="4432"/>
        </w:tabs>
        <w:autoSpaceDE w:val="0"/>
        <w:autoSpaceDN w:val="0"/>
        <w:adjustRightInd w:val="0"/>
        <w:ind w:left="927" w:hanging="927"/>
        <w:jc w:val="both"/>
      </w:pPr>
    </w:p>
    <w:p w14:paraId="0FDEF8CD" w14:textId="385330AD" w:rsidR="005115F9" w:rsidRDefault="005115F9" w:rsidP="005115F9">
      <w:pPr>
        <w:pStyle w:val="ListParagraph"/>
        <w:tabs>
          <w:tab w:val="left" w:pos="3045"/>
          <w:tab w:val="center" w:pos="4432"/>
        </w:tabs>
        <w:autoSpaceDE w:val="0"/>
        <w:autoSpaceDN w:val="0"/>
        <w:adjustRightInd w:val="0"/>
        <w:ind w:left="927" w:hanging="927"/>
        <w:jc w:val="both"/>
        <w:rPr>
          <w:color w:val="000000"/>
        </w:rPr>
      </w:pPr>
      <w:r w:rsidRPr="005115F9">
        <w:rPr>
          <w:color w:val="000000"/>
        </w:rPr>
        <w:t>Imanda, R., Khaldun, I., dan Azhar. 2017. Pengembangan Modul Pembelajaran Kimia SMA Kelas XI Pada Materi Konsep dan Reaksi-Reaksi dalam Larutan Asam Basa</w:t>
      </w:r>
      <w:r w:rsidRPr="005115F9">
        <w:rPr>
          <w:i/>
          <w:iCs/>
          <w:color w:val="000000"/>
        </w:rPr>
        <w:t xml:space="preserve">, </w:t>
      </w:r>
      <w:r w:rsidRPr="005115F9">
        <w:rPr>
          <w:i/>
          <w:iCs/>
          <w:color w:val="000000"/>
        </w:rPr>
        <w:t>Jurnal Pendidikan Sains Indonesia</w:t>
      </w:r>
      <w:r w:rsidRPr="005115F9">
        <w:rPr>
          <w:color w:val="000000"/>
        </w:rPr>
        <w:t>, 5(2):42-49</w:t>
      </w:r>
    </w:p>
    <w:p w14:paraId="09F8B0D0" w14:textId="77777777" w:rsidR="005115F9" w:rsidRDefault="005115F9" w:rsidP="005115F9">
      <w:pPr>
        <w:pStyle w:val="ListParagraph"/>
        <w:tabs>
          <w:tab w:val="left" w:pos="3045"/>
          <w:tab w:val="center" w:pos="4432"/>
        </w:tabs>
        <w:autoSpaceDE w:val="0"/>
        <w:autoSpaceDN w:val="0"/>
        <w:adjustRightInd w:val="0"/>
        <w:ind w:left="927" w:hanging="927"/>
        <w:jc w:val="both"/>
        <w:rPr>
          <w:color w:val="000000"/>
        </w:rPr>
      </w:pPr>
    </w:p>
    <w:p w14:paraId="36E4E6E7" w14:textId="668C332E" w:rsidR="005115F9" w:rsidRPr="005115F9" w:rsidRDefault="005115F9" w:rsidP="005115F9">
      <w:pPr>
        <w:pStyle w:val="ListParagraph"/>
        <w:tabs>
          <w:tab w:val="left" w:pos="3045"/>
          <w:tab w:val="center" w:pos="4432"/>
        </w:tabs>
        <w:autoSpaceDE w:val="0"/>
        <w:autoSpaceDN w:val="0"/>
        <w:adjustRightInd w:val="0"/>
        <w:ind w:left="927" w:hanging="927"/>
        <w:jc w:val="both"/>
      </w:pPr>
      <w:r w:rsidRPr="005115F9">
        <w:rPr>
          <w:lang w:val="en-US"/>
        </w:rPr>
        <w:t xml:space="preserve">Imanda, R., Alvina, S., Setiawaty, S., dan Hartati, R. </w:t>
      </w:r>
      <w:r>
        <w:rPr>
          <w:lang w:val="en-US"/>
        </w:rPr>
        <w:t xml:space="preserve">2021. </w:t>
      </w:r>
      <w:hyperlink r:id="rId11" w:history="1">
        <w:r w:rsidRPr="005115F9">
          <w:rPr>
            <w:rStyle w:val="Hyperlink"/>
            <w:color w:val="auto"/>
            <w:u w:val="none"/>
            <w:shd w:val="clear" w:color="auto" w:fill="FFFFFF"/>
          </w:rPr>
          <w:t>Penggunaan Handout Terhadap Hasil Belajar Siswa Pada Konsep Kelarutan dan Hasil Kali Kelarutan di SMA 6 Banda Aceh</w:t>
        </w:r>
      </w:hyperlink>
      <w:r w:rsidRPr="005115F9">
        <w:rPr>
          <w:lang w:val="en-US"/>
        </w:rPr>
        <w:t xml:space="preserve">, </w:t>
      </w:r>
      <w:r w:rsidRPr="005115F9">
        <w:rPr>
          <w:i/>
          <w:iCs/>
        </w:rPr>
        <w:t>KATALIS: Jurnal Penelitian Kimia dan Pendidikan Kimia</w:t>
      </w:r>
      <w:r w:rsidRPr="005115F9">
        <w:t xml:space="preserve"> 4 (1), 9-13</w:t>
      </w:r>
    </w:p>
    <w:p w14:paraId="38C13710" w14:textId="77777777" w:rsidR="005115F9" w:rsidRPr="005115F9" w:rsidRDefault="005115F9" w:rsidP="005115F9">
      <w:pPr>
        <w:autoSpaceDE w:val="0"/>
        <w:autoSpaceDN w:val="0"/>
        <w:adjustRightInd w:val="0"/>
        <w:ind w:left="567" w:hanging="567"/>
        <w:jc w:val="both"/>
        <w:rPr>
          <w:color w:val="1D1D1B"/>
        </w:rPr>
      </w:pPr>
    </w:p>
    <w:p w14:paraId="039F2962" w14:textId="77777777" w:rsidR="005115F9" w:rsidRPr="00C91F2C" w:rsidRDefault="005115F9" w:rsidP="00B53502">
      <w:pPr>
        <w:pStyle w:val="ListParagraph"/>
        <w:tabs>
          <w:tab w:val="left" w:pos="3045"/>
          <w:tab w:val="center" w:pos="4432"/>
        </w:tabs>
        <w:autoSpaceDE w:val="0"/>
        <w:autoSpaceDN w:val="0"/>
        <w:adjustRightInd w:val="0"/>
        <w:ind w:left="927" w:hanging="927"/>
        <w:jc w:val="both"/>
      </w:pPr>
    </w:p>
    <w:p w14:paraId="48737D62" w14:textId="16F7A2D0" w:rsidR="000630D7" w:rsidRPr="00B53502" w:rsidRDefault="00B53502" w:rsidP="00B53502">
      <w:pPr>
        <w:jc w:val="both"/>
        <w:rPr>
          <w:color w:val="262626" w:themeColor="text1" w:themeTint="D9"/>
        </w:rPr>
      </w:pPr>
      <w:r>
        <w:rPr>
          <w:color w:val="262626" w:themeColor="text1" w:themeTint="D9"/>
        </w:rPr>
        <w:t xml:space="preserve">Kusaeri, 2014. </w:t>
      </w:r>
      <w:r w:rsidRPr="00075951">
        <w:rPr>
          <w:i/>
          <w:color w:val="262626" w:themeColor="text1" w:themeTint="D9"/>
        </w:rPr>
        <w:t>Metodelogi Penelitian</w:t>
      </w:r>
      <w:r>
        <w:rPr>
          <w:color w:val="262626" w:themeColor="text1" w:themeTint="D9"/>
        </w:rPr>
        <w:t>. Surabaya: IAIN Sunan Ampel Surabaya.</w:t>
      </w:r>
    </w:p>
    <w:p w14:paraId="5064358F" w14:textId="77777777" w:rsidR="00724FD4" w:rsidRPr="00177D75" w:rsidRDefault="00724FD4" w:rsidP="00B53502">
      <w:pPr>
        <w:jc w:val="both"/>
        <w:rPr>
          <w:color w:val="222222"/>
        </w:rPr>
      </w:pPr>
    </w:p>
    <w:p w14:paraId="2F6792AE" w14:textId="77777777" w:rsidR="00724FD4" w:rsidRPr="00177D75" w:rsidRDefault="00724FD4" w:rsidP="00B53502">
      <w:pPr>
        <w:ind w:left="567" w:hanging="567"/>
        <w:jc w:val="both"/>
        <w:rPr>
          <w:color w:val="222222"/>
        </w:rPr>
      </w:pPr>
      <w:r w:rsidRPr="00177D75">
        <w:rPr>
          <w:color w:val="222222"/>
        </w:rPr>
        <w:t xml:space="preserve">Laili, N. I dan Utiya Azizah. 2015. “Implementasi Model Pembelajaran Berbasis Masalah (PBM) untuk Melatihkan Keterampilan Berpikir Kritis dan Self Efficacy pada Materi Pokok Faktor-Faktor yang Mempengaruhi Laju Reaksi Kelas XI SMA Negeri 4 Sidoarjo (Implementation Problem-Based Learning Model (PBM) Forcritical Thinking Skills and Self Efficacy in The Matter Ofsignificant Factors Affecting The Rates Of Reaction Class XI in SMAN 4 Sidoarjo”. </w:t>
      </w:r>
      <w:r w:rsidRPr="00177D75">
        <w:rPr>
          <w:i/>
          <w:iCs/>
          <w:color w:val="222222"/>
        </w:rPr>
        <w:t>UNESA Journal Of Chemical Education</w:t>
      </w:r>
      <w:r w:rsidRPr="00177D75">
        <w:rPr>
          <w:color w:val="222222"/>
        </w:rPr>
        <w:t xml:space="preserve">, Volume </w:t>
      </w:r>
      <w:r w:rsidRPr="00177D75">
        <w:rPr>
          <w:iCs/>
          <w:color w:val="222222"/>
        </w:rPr>
        <w:t>4, No.</w:t>
      </w:r>
      <w:r w:rsidRPr="00177D75">
        <w:rPr>
          <w:color w:val="222222"/>
        </w:rPr>
        <w:t>1, 2015: 62-68.</w:t>
      </w:r>
    </w:p>
    <w:p w14:paraId="3372EDFC" w14:textId="77777777" w:rsidR="00724FD4" w:rsidRPr="00177D75" w:rsidRDefault="00724FD4" w:rsidP="00B53502">
      <w:pPr>
        <w:ind w:left="567" w:hanging="567"/>
        <w:jc w:val="both"/>
        <w:rPr>
          <w:color w:val="222222"/>
        </w:rPr>
      </w:pPr>
    </w:p>
    <w:p w14:paraId="5B20AF0B" w14:textId="77777777" w:rsidR="00724FD4" w:rsidRDefault="00724FD4" w:rsidP="00B53502">
      <w:pPr>
        <w:ind w:left="567" w:hanging="567"/>
        <w:jc w:val="both"/>
        <w:rPr>
          <w:color w:val="222222"/>
        </w:rPr>
      </w:pPr>
      <w:r w:rsidRPr="00177D75">
        <w:rPr>
          <w:color w:val="222222"/>
        </w:rPr>
        <w:t xml:space="preserve">Lubis, F.N. 2018. “Perbedaan Hasil Belajar Siswa Menggunakan Model Pembelajaran Kooperatif Tipe TGT Dengan Model Pembelajaran Kooperatif Tipe STAD Di SMA Negeri 1 Kotanopan”. </w:t>
      </w:r>
      <w:r w:rsidRPr="000D5909">
        <w:rPr>
          <w:i/>
          <w:color w:val="222222"/>
        </w:rPr>
        <w:t>Jurnal Education and development Institut Pendidikan Tapanuli Selatan</w:t>
      </w:r>
      <w:r w:rsidRPr="00177D75">
        <w:rPr>
          <w:color w:val="222222"/>
        </w:rPr>
        <w:t>, Volume 3, No. 2, Januari 2018:27-34.</w:t>
      </w:r>
    </w:p>
    <w:p w14:paraId="0FE81250" w14:textId="77777777" w:rsidR="00724FD4" w:rsidRPr="00177D75" w:rsidRDefault="00724FD4" w:rsidP="00B53502">
      <w:pPr>
        <w:ind w:left="567" w:hanging="567"/>
        <w:jc w:val="both"/>
        <w:rPr>
          <w:color w:val="222222"/>
        </w:rPr>
      </w:pPr>
    </w:p>
    <w:p w14:paraId="55134E51" w14:textId="77777777" w:rsidR="00724FD4" w:rsidRDefault="00724FD4" w:rsidP="00B53502">
      <w:pPr>
        <w:ind w:left="567" w:hanging="567"/>
        <w:jc w:val="both"/>
        <w:rPr>
          <w:color w:val="222222"/>
        </w:rPr>
      </w:pPr>
      <w:r w:rsidRPr="00177D75">
        <w:rPr>
          <w:color w:val="222222"/>
        </w:rPr>
        <w:t xml:space="preserve">Menanti, H., &amp; Rahman, A.A. 2015. “Perbandingan Kemampuan Pemahaman Konsep Matematika Siswa Menggunakan Model Pembelajaran Kooperatif Tipe Student Teams Achievement Division (STAD) Dengan Team Games Tournament (TGT) Di SD Islam Khalifah Annizam”. </w:t>
      </w:r>
      <w:r w:rsidRPr="00177D75">
        <w:rPr>
          <w:i/>
          <w:color w:val="222222"/>
        </w:rPr>
        <w:t>Jurnal Bina Gogik</w:t>
      </w:r>
      <w:r w:rsidRPr="00177D75">
        <w:rPr>
          <w:color w:val="222222"/>
        </w:rPr>
        <w:t xml:space="preserve">, Volume 2, No. 1, Maret 2015:  38:48). </w:t>
      </w:r>
    </w:p>
    <w:p w14:paraId="60B06FA9" w14:textId="77777777" w:rsidR="00724FD4" w:rsidRPr="00177D75" w:rsidRDefault="00724FD4" w:rsidP="00B53502">
      <w:pPr>
        <w:ind w:left="567" w:hanging="567"/>
        <w:jc w:val="both"/>
        <w:rPr>
          <w:color w:val="222222"/>
        </w:rPr>
      </w:pPr>
    </w:p>
    <w:p w14:paraId="6BB8985C" w14:textId="77777777" w:rsidR="00724FD4" w:rsidRPr="00177D75" w:rsidRDefault="00724FD4" w:rsidP="00B53502">
      <w:pPr>
        <w:ind w:left="567" w:hanging="567"/>
        <w:jc w:val="both"/>
      </w:pPr>
      <w:r w:rsidRPr="00177D75">
        <w:t xml:space="preserve">Nurdiyanti, D. H. 2010. “Efektivitas Penggunaan Model Pembelajaran </w:t>
      </w:r>
      <w:r w:rsidRPr="00177D75">
        <w:rPr>
          <w:i/>
        </w:rPr>
        <w:t>Problem Based Learning</w:t>
      </w:r>
      <w:r w:rsidRPr="00177D75">
        <w:t xml:space="preserve"> Guna Pembentukan Berpikir Kritis pada SMK Perindustrian Yogyakarta”. </w:t>
      </w:r>
      <w:r w:rsidRPr="00177D75">
        <w:rPr>
          <w:i/>
        </w:rPr>
        <w:t>Program Studi Ilmu Sosial</w:t>
      </w:r>
      <w:r w:rsidRPr="00177D75">
        <w:t>, Universitas Negeri Yogyakarta.</w:t>
      </w:r>
    </w:p>
    <w:p w14:paraId="23B9E5D4" w14:textId="77777777" w:rsidR="00724FD4" w:rsidRPr="00177D75" w:rsidRDefault="00724FD4" w:rsidP="00B53502">
      <w:pPr>
        <w:ind w:left="567" w:hanging="567"/>
        <w:jc w:val="both"/>
      </w:pPr>
    </w:p>
    <w:p w14:paraId="0F484DB6" w14:textId="77777777" w:rsidR="00BB3B9D" w:rsidRDefault="00724FD4" w:rsidP="00B53502">
      <w:pPr>
        <w:ind w:left="567" w:hanging="567"/>
        <w:jc w:val="both"/>
      </w:pPr>
      <w:r w:rsidRPr="00177D75">
        <w:t xml:space="preserve">Nurhayati, P. 2016. “Pengaruh Model Pembelajaran NHT Terhadap Hasil Belajar Matematika Kelas II SDN Cangkir,Driyorejo-Gresik”. </w:t>
      </w:r>
      <w:r w:rsidRPr="00177D75">
        <w:rPr>
          <w:i/>
        </w:rPr>
        <w:t>Jurnal Penelitian Pendidikan Guru Sekolah Dasar</w:t>
      </w:r>
      <w:r w:rsidRPr="00177D75">
        <w:t>, Volume , No.2, 2016: 34-37.</w:t>
      </w:r>
    </w:p>
    <w:p w14:paraId="3959989E" w14:textId="77777777" w:rsidR="00BB3B9D" w:rsidRDefault="00BB3B9D" w:rsidP="00B53502">
      <w:pPr>
        <w:ind w:left="567" w:hanging="567"/>
        <w:jc w:val="both"/>
      </w:pPr>
    </w:p>
    <w:p w14:paraId="5DB3848D" w14:textId="63D9E601" w:rsidR="00BB3B9D" w:rsidRPr="00C91F2C" w:rsidRDefault="00BB3B9D" w:rsidP="00B53502">
      <w:pPr>
        <w:ind w:left="567" w:hanging="567"/>
        <w:jc w:val="both"/>
      </w:pPr>
      <w:r w:rsidRPr="00C91F2C">
        <w:t xml:space="preserve">Overton, T. L., &amp; Randles, C. A. (2015). Beyond problem-based learning: using dynamic PBL in chemistry. </w:t>
      </w:r>
      <w:r w:rsidRPr="00C91F2C">
        <w:rPr>
          <w:i/>
          <w:iCs/>
        </w:rPr>
        <w:t>Chemistry Education Research and Practice</w:t>
      </w:r>
      <w:r w:rsidRPr="00C91F2C">
        <w:t xml:space="preserve">, 16(2): 251-259. </w:t>
      </w:r>
    </w:p>
    <w:p w14:paraId="0C2AB6CD" w14:textId="77777777" w:rsidR="00BB3B9D" w:rsidRPr="00177D75" w:rsidRDefault="00BB3B9D" w:rsidP="00B53502">
      <w:pPr>
        <w:jc w:val="both"/>
      </w:pPr>
    </w:p>
    <w:p w14:paraId="0C840D19" w14:textId="77777777" w:rsidR="000630D7" w:rsidRDefault="00724FD4" w:rsidP="00B53502">
      <w:pPr>
        <w:ind w:left="567" w:hanging="567"/>
        <w:jc w:val="both"/>
      </w:pPr>
      <w:r w:rsidRPr="00177D75">
        <w:t xml:space="preserve">Putri, N.K.N., Danial, M &amp; Arsyad, N. 2018. “Pengaruh sikap, konsep diri, dan kesadaran metakognitif terhadap hasil belajar kimia peserta didik kelas XI MIA SMAN di kecamatan Ujung bulu kabupaten Bulukumba”. </w:t>
      </w:r>
      <w:r w:rsidRPr="00177D75">
        <w:rPr>
          <w:i/>
        </w:rPr>
        <w:t xml:space="preserve">Chemistry Education Review, </w:t>
      </w:r>
      <w:r w:rsidRPr="00177D75">
        <w:t>Volume1, 2018: 73-89</w:t>
      </w:r>
    </w:p>
    <w:p w14:paraId="64466A84" w14:textId="77777777" w:rsidR="000630D7" w:rsidRDefault="000630D7" w:rsidP="00B53502">
      <w:pPr>
        <w:ind w:left="567" w:hanging="567"/>
        <w:jc w:val="both"/>
      </w:pPr>
    </w:p>
    <w:p w14:paraId="261DAB40" w14:textId="40F724AA" w:rsidR="000630D7" w:rsidRPr="00C91F2C" w:rsidRDefault="000630D7" w:rsidP="00B53502">
      <w:pPr>
        <w:ind w:left="567" w:hanging="567"/>
        <w:jc w:val="both"/>
      </w:pPr>
      <w:r w:rsidRPr="00C91F2C">
        <w:t xml:space="preserve">Qurniawati, A., &amp; Saputro, A. N. C. 2013. Efektivitas metode pembelajaran kooperatif tipe numbered head together (Nht) dengan media kartu pintar dan kartu soal terhadap prestasi belajar siswa pada materi pokok hidrokarbon kelas X semester genap SMA Negeri 8 Surakarta. </w:t>
      </w:r>
      <w:r w:rsidRPr="00C91F2C">
        <w:rPr>
          <w:i/>
          <w:iCs/>
        </w:rPr>
        <w:t>Jurnal Pendidikan Kimia</w:t>
      </w:r>
      <w:r w:rsidRPr="00C91F2C">
        <w:t xml:space="preserve">, 2(3): 166-174. </w:t>
      </w:r>
    </w:p>
    <w:p w14:paraId="3E1AD301" w14:textId="29D62DD9" w:rsidR="000630D7" w:rsidRDefault="000630D7" w:rsidP="00B53502">
      <w:pPr>
        <w:ind w:left="567" w:hanging="567"/>
        <w:jc w:val="both"/>
      </w:pPr>
    </w:p>
    <w:p w14:paraId="11A113FB" w14:textId="352DD1EA" w:rsidR="00BB3B9D" w:rsidRPr="00B53502" w:rsidRDefault="00B53502" w:rsidP="00B53502">
      <w:pPr>
        <w:jc w:val="both"/>
        <w:rPr>
          <w:color w:val="262626" w:themeColor="text1" w:themeTint="D9"/>
          <w:lang w:val="en-US"/>
        </w:rPr>
      </w:pPr>
      <w:r>
        <w:rPr>
          <w:color w:val="262626" w:themeColor="text1" w:themeTint="D9"/>
          <w:lang w:val="en-US"/>
        </w:rPr>
        <w:t>Rangkuti</w:t>
      </w:r>
      <w:r>
        <w:rPr>
          <w:color w:val="262626" w:themeColor="text1" w:themeTint="D9"/>
        </w:rPr>
        <w:t>, A. N.</w:t>
      </w:r>
      <w:r>
        <w:rPr>
          <w:color w:val="262626" w:themeColor="text1" w:themeTint="D9"/>
          <w:lang w:val="en-US"/>
        </w:rPr>
        <w:t xml:space="preserve"> 2014</w:t>
      </w:r>
      <w:r>
        <w:rPr>
          <w:color w:val="262626" w:themeColor="text1" w:themeTint="D9"/>
        </w:rPr>
        <w:t>.Metode Penelitian Pendidikan. Bandung: Ciptapustaka Media.</w:t>
      </w:r>
    </w:p>
    <w:p w14:paraId="0ABEE46E" w14:textId="77777777" w:rsidR="00724FD4" w:rsidRPr="00177D75" w:rsidRDefault="00724FD4" w:rsidP="00B53502">
      <w:pPr>
        <w:jc w:val="both"/>
        <w:rPr>
          <w:color w:val="262626" w:themeColor="text1" w:themeTint="D9"/>
        </w:rPr>
      </w:pPr>
    </w:p>
    <w:p w14:paraId="032213E4" w14:textId="39DADB5F" w:rsidR="000630D7" w:rsidRDefault="00724FD4" w:rsidP="00B53502">
      <w:pPr>
        <w:ind w:left="567" w:hanging="567"/>
        <w:jc w:val="both"/>
        <w:rPr>
          <w:color w:val="262626" w:themeColor="text1" w:themeTint="D9"/>
          <w:lang w:val="en-US"/>
        </w:rPr>
      </w:pPr>
      <w:r w:rsidRPr="00177D75">
        <w:rPr>
          <w:color w:val="262626" w:themeColor="text1" w:themeTint="D9"/>
        </w:rPr>
        <w:lastRenderedPageBreak/>
        <w:t xml:space="preserve">Sari, A.D.C., &amp; Supardi, K.I. 2013. “Pengaruh Model Team Games Tournament Media Tournament Question Card Terhadap Hasil Belajar Siswa Pada Materi Hidrokarbon”. </w:t>
      </w:r>
      <w:r w:rsidRPr="00177D75">
        <w:rPr>
          <w:i/>
          <w:color w:val="262626" w:themeColor="text1" w:themeTint="D9"/>
        </w:rPr>
        <w:t>Jurnal Inovasi Pendidikan Kimia</w:t>
      </w:r>
      <w:r w:rsidRPr="00177D75">
        <w:rPr>
          <w:color w:val="262626" w:themeColor="text1" w:themeTint="D9"/>
        </w:rPr>
        <w:t>, Volume 7, No. 2, 2013: 1220-1228</w:t>
      </w:r>
      <w:r w:rsidR="000630D7">
        <w:rPr>
          <w:color w:val="262626" w:themeColor="text1" w:themeTint="D9"/>
          <w:lang w:val="en-US"/>
        </w:rPr>
        <w:t>.</w:t>
      </w:r>
    </w:p>
    <w:p w14:paraId="0354A4D9" w14:textId="6144C6E9" w:rsidR="00BB3B9D" w:rsidRDefault="00BB3B9D" w:rsidP="00B53502">
      <w:pPr>
        <w:ind w:left="567" w:hanging="567"/>
        <w:jc w:val="both"/>
        <w:rPr>
          <w:color w:val="262626" w:themeColor="text1" w:themeTint="D9"/>
          <w:lang w:val="en-US"/>
        </w:rPr>
      </w:pPr>
    </w:p>
    <w:p w14:paraId="75D298C6" w14:textId="058B0D72" w:rsidR="00BB3B9D" w:rsidRDefault="00BB3B9D" w:rsidP="00B53502">
      <w:pPr>
        <w:ind w:left="567" w:hanging="567"/>
        <w:jc w:val="both"/>
      </w:pPr>
      <w:r w:rsidRPr="00C91F2C">
        <w:t>Sholichah, Z., Soetjipto, E. B.,  Rahayu, P.W. 2018. The Implementation of Stad and TGT Learning Models to Improve Students’Learning Motivation and Learning Outcomes (A Study on the Eleventh-grade Students of SMKN 1 Sooko Mojokerto).  Journal of Education and Practice, 9 (2): ISSN: 2222-288x (online)</w:t>
      </w:r>
    </w:p>
    <w:p w14:paraId="428F918D" w14:textId="18CF9E79" w:rsidR="00B53502" w:rsidRDefault="00B53502" w:rsidP="00B53502">
      <w:pPr>
        <w:ind w:left="567" w:hanging="567"/>
        <w:jc w:val="both"/>
      </w:pPr>
    </w:p>
    <w:p w14:paraId="30AE5F6F" w14:textId="77777777" w:rsidR="00B53502" w:rsidRPr="003C67B1" w:rsidRDefault="00B53502" w:rsidP="00B53502">
      <w:pPr>
        <w:ind w:left="567" w:hanging="567"/>
        <w:jc w:val="both"/>
        <w:rPr>
          <w:color w:val="262626" w:themeColor="text1" w:themeTint="D9"/>
        </w:rPr>
      </w:pPr>
      <w:r w:rsidRPr="003C67B1">
        <w:t>Sugiyono. 2010. Metode Penelitian Pendidikan Pendekatan Kuantitatif, kualitatif, dan R&amp;D. Bandung: Alfabeta</w:t>
      </w:r>
      <w:r w:rsidRPr="003C67B1">
        <w:rPr>
          <w:color w:val="262626" w:themeColor="text1" w:themeTint="D9"/>
          <w:lang w:val="en-US"/>
        </w:rPr>
        <w:t>10</w:t>
      </w:r>
      <w:r w:rsidRPr="003C67B1">
        <w:rPr>
          <w:color w:val="262626" w:themeColor="text1" w:themeTint="D9"/>
        </w:rPr>
        <w:t>.</w:t>
      </w:r>
    </w:p>
    <w:p w14:paraId="268FCDB0" w14:textId="77777777" w:rsidR="00BB3B9D" w:rsidRDefault="00BB3B9D" w:rsidP="00B53502">
      <w:pPr>
        <w:jc w:val="both"/>
        <w:rPr>
          <w:color w:val="262626" w:themeColor="text1" w:themeTint="D9"/>
          <w:lang w:val="en-US"/>
        </w:rPr>
      </w:pPr>
    </w:p>
    <w:p w14:paraId="2C41F0E4" w14:textId="54FCD91D" w:rsidR="000630D7" w:rsidRPr="000630D7" w:rsidRDefault="000630D7" w:rsidP="00B53502">
      <w:pPr>
        <w:ind w:left="567" w:hanging="567"/>
        <w:jc w:val="both"/>
        <w:rPr>
          <w:color w:val="262626" w:themeColor="text1" w:themeTint="D9"/>
        </w:rPr>
      </w:pPr>
      <w:r w:rsidRPr="00C91F2C">
        <w:t xml:space="preserve">Tiantong, M. &amp; Teemuangsai, S. 2013. Student Team Achievement Divisions (STAD) Technique through the Moodle to Enhance Learning Achievement. </w:t>
      </w:r>
      <w:r w:rsidRPr="00C91F2C">
        <w:rPr>
          <w:i/>
          <w:iCs/>
        </w:rPr>
        <w:t>International Education Studies</w:t>
      </w:r>
      <w:r w:rsidRPr="00C91F2C">
        <w:t>, 6 (4)</w:t>
      </w:r>
    </w:p>
    <w:p w14:paraId="109E8430" w14:textId="77777777" w:rsidR="000630D7" w:rsidRPr="00177D75" w:rsidRDefault="000630D7" w:rsidP="00B53502">
      <w:pPr>
        <w:jc w:val="both"/>
        <w:rPr>
          <w:color w:val="262626" w:themeColor="text1" w:themeTint="D9"/>
        </w:rPr>
      </w:pPr>
    </w:p>
    <w:p w14:paraId="062D6426" w14:textId="77777777" w:rsidR="000630D7" w:rsidRDefault="00724FD4" w:rsidP="00B53502">
      <w:pPr>
        <w:ind w:left="567" w:hanging="567"/>
        <w:jc w:val="both"/>
      </w:pPr>
      <w:r w:rsidRPr="00177D75">
        <w:t xml:space="preserve">Utami, B. 2009. </w:t>
      </w:r>
      <w:r w:rsidRPr="00177D75">
        <w:rPr>
          <w:i/>
        </w:rPr>
        <w:t>Kimia untuk SMA dan MA Kelas X</w:t>
      </w:r>
      <w:r w:rsidRPr="00177D75">
        <w:t>. Jakarta: Pusat Perbukuaan, Departemen Pendidikan Nasional.</w:t>
      </w:r>
    </w:p>
    <w:p w14:paraId="21D4AC82" w14:textId="77777777" w:rsidR="000630D7" w:rsidRDefault="000630D7" w:rsidP="00B53502">
      <w:pPr>
        <w:ind w:left="567" w:hanging="567"/>
        <w:jc w:val="both"/>
      </w:pPr>
    </w:p>
    <w:p w14:paraId="1DADEAB1" w14:textId="1C1E8B6E" w:rsidR="000630D7" w:rsidRDefault="000630D7" w:rsidP="00B53502">
      <w:pPr>
        <w:ind w:left="567" w:hanging="567"/>
        <w:jc w:val="both"/>
      </w:pPr>
      <w:r w:rsidRPr="00C91F2C">
        <w:t xml:space="preserve">Van. M.M. 2015. The Effects of the STAD-Cooperative Learning Method on Student Achievement, Attitude and Motivation in Economics Education. </w:t>
      </w:r>
      <w:r w:rsidRPr="00C91F2C">
        <w:rPr>
          <w:i/>
          <w:iCs/>
        </w:rPr>
        <w:t>J Soc Sci</w:t>
      </w:r>
      <w:r w:rsidRPr="00C91F2C">
        <w:t>, 33(2): 261-270</w:t>
      </w:r>
    </w:p>
    <w:p w14:paraId="7963C30D" w14:textId="77777777" w:rsidR="00724FD4" w:rsidRPr="008D77B6" w:rsidRDefault="00724FD4" w:rsidP="00B53502">
      <w:pPr>
        <w:ind w:left="567" w:hanging="567"/>
        <w:jc w:val="both"/>
      </w:pPr>
    </w:p>
    <w:p w14:paraId="033ECB6D" w14:textId="77777777" w:rsidR="00724FD4" w:rsidRPr="00177D75" w:rsidRDefault="00724FD4" w:rsidP="00B53502">
      <w:pPr>
        <w:ind w:left="567" w:hanging="567"/>
        <w:jc w:val="both"/>
        <w:rPr>
          <w:rFonts w:eastAsiaTheme="minorEastAsia"/>
          <w:color w:val="262626" w:themeColor="text1" w:themeTint="D9"/>
        </w:rPr>
      </w:pPr>
      <w:r w:rsidRPr="00177D75">
        <w:rPr>
          <w:rFonts w:eastAsiaTheme="minorEastAsia"/>
          <w:color w:val="262626" w:themeColor="text1" w:themeTint="D9"/>
        </w:rPr>
        <w:t xml:space="preserve">Wahyudi, W.,&amp; Siswanti, M.C. 2015. “Pengaruh Pendekatan Saintifik Melalui Model Discovery Learning dengan Permainan Terhadap Hasil Belajar Matematika Siswa Kelas 5 SD”. Scholaria: </w:t>
      </w:r>
      <w:r w:rsidRPr="00177D75">
        <w:rPr>
          <w:rFonts w:eastAsiaTheme="minorEastAsia"/>
          <w:i/>
          <w:color w:val="262626" w:themeColor="text1" w:themeTint="D9"/>
        </w:rPr>
        <w:t>Jurnal Pendidikan dan Kebudayaan</w:t>
      </w:r>
      <w:r w:rsidRPr="00177D75">
        <w:rPr>
          <w:rFonts w:eastAsiaTheme="minorEastAsia"/>
          <w:color w:val="262626" w:themeColor="text1" w:themeTint="D9"/>
        </w:rPr>
        <w:t>, Volume 5, No. 3, 2015: 23-36.</w:t>
      </w:r>
    </w:p>
    <w:p w14:paraId="1B0ED843" w14:textId="77777777" w:rsidR="00724FD4" w:rsidRPr="00177D75" w:rsidRDefault="00724FD4" w:rsidP="00B53502">
      <w:pPr>
        <w:jc w:val="both"/>
        <w:rPr>
          <w:rFonts w:eastAsiaTheme="minorEastAsia"/>
          <w:color w:val="262626" w:themeColor="text1" w:themeTint="D9"/>
        </w:rPr>
      </w:pPr>
    </w:p>
    <w:p w14:paraId="238B36A5" w14:textId="6B23E4D4" w:rsidR="00724FD4" w:rsidRDefault="00724FD4" w:rsidP="00B53502">
      <w:pPr>
        <w:ind w:left="567" w:hanging="567"/>
        <w:jc w:val="both"/>
        <w:rPr>
          <w:rFonts w:eastAsiaTheme="minorEastAsia"/>
          <w:color w:val="262626" w:themeColor="text1" w:themeTint="D9"/>
        </w:rPr>
      </w:pPr>
      <w:r w:rsidRPr="00177D75">
        <w:rPr>
          <w:rFonts w:eastAsiaTheme="minorEastAsia"/>
          <w:color w:val="262626" w:themeColor="text1" w:themeTint="D9"/>
        </w:rPr>
        <w:t xml:space="preserve">Widyawati, R.T., Masykuri, M., &amp; Utami, B. 2016. “Studi Komparisasi Model Pembelajaran Teams Games Tournament (TGT) Dan Students Teams Achievement Divisions (STAD) Terhadap Prestasi Belajar Pada Materi Pokok Termokimia Ditinjau Dari Motivasi Belajar Kimia Siswa Kelas XI SMA Muhammadiyah 1 Karanganyar Tahun Pelajaran 2015/2016”. </w:t>
      </w:r>
      <w:r w:rsidRPr="00177D75">
        <w:rPr>
          <w:rFonts w:eastAsiaTheme="minorEastAsia"/>
          <w:i/>
          <w:color w:val="262626" w:themeColor="text1" w:themeTint="D9"/>
        </w:rPr>
        <w:t xml:space="preserve">Jurnal Pendidikan Kimia, </w:t>
      </w:r>
      <w:r w:rsidRPr="00177D75">
        <w:rPr>
          <w:rFonts w:eastAsiaTheme="minorEastAsia"/>
          <w:color w:val="262626" w:themeColor="text1" w:themeTint="D9"/>
        </w:rPr>
        <w:t>Volume 5, No. 4, 2016:60-68</w:t>
      </w:r>
      <w:r>
        <w:rPr>
          <w:rFonts w:eastAsiaTheme="minorEastAsia"/>
          <w:color w:val="262626" w:themeColor="text1" w:themeTint="D9"/>
        </w:rPr>
        <w:t>.</w:t>
      </w:r>
    </w:p>
    <w:p w14:paraId="5B0E95FF" w14:textId="599D3093" w:rsidR="003A4E21" w:rsidRDefault="003A4E21" w:rsidP="00B53502">
      <w:pPr>
        <w:ind w:left="567" w:hanging="567"/>
        <w:jc w:val="both"/>
        <w:rPr>
          <w:rFonts w:eastAsiaTheme="minorEastAsia"/>
          <w:color w:val="262626" w:themeColor="text1" w:themeTint="D9"/>
        </w:rPr>
      </w:pPr>
    </w:p>
    <w:p w14:paraId="7E5D688A" w14:textId="608080F9" w:rsidR="003A4E21" w:rsidRDefault="003A4E21" w:rsidP="00B53502">
      <w:pPr>
        <w:ind w:left="567" w:hanging="567"/>
        <w:jc w:val="both"/>
        <w:rPr>
          <w:rFonts w:eastAsiaTheme="minorEastAsia"/>
          <w:color w:val="262626" w:themeColor="text1" w:themeTint="D9"/>
        </w:rPr>
      </w:pPr>
    </w:p>
    <w:p w14:paraId="3CE0C0A0" w14:textId="154A90BF" w:rsidR="003A4E21" w:rsidRDefault="003A4E21" w:rsidP="00B53502">
      <w:pPr>
        <w:ind w:left="567" w:hanging="567"/>
        <w:jc w:val="both"/>
        <w:rPr>
          <w:rFonts w:eastAsiaTheme="minorEastAsia"/>
          <w:color w:val="262626" w:themeColor="text1" w:themeTint="D9"/>
        </w:rPr>
      </w:pPr>
    </w:p>
    <w:p w14:paraId="1699043E" w14:textId="07446C02" w:rsidR="00724FD4" w:rsidRDefault="00724FD4" w:rsidP="00B53502">
      <w:pPr>
        <w:pBdr>
          <w:top w:val="nil"/>
          <w:left w:val="nil"/>
          <w:bottom w:val="nil"/>
          <w:right w:val="nil"/>
          <w:between w:val="nil"/>
        </w:pBdr>
        <w:spacing w:line="360" w:lineRule="auto"/>
        <w:ind w:left="284"/>
        <w:jc w:val="both"/>
        <w:rPr>
          <w:b/>
          <w:color w:val="000000"/>
        </w:rPr>
      </w:pPr>
    </w:p>
    <w:p w14:paraId="1B6E411B" w14:textId="0D102801" w:rsidR="00573699" w:rsidRPr="00724FD4" w:rsidRDefault="00573699" w:rsidP="00B53502">
      <w:pPr>
        <w:pBdr>
          <w:top w:val="nil"/>
          <w:left w:val="nil"/>
          <w:bottom w:val="nil"/>
          <w:right w:val="nil"/>
          <w:between w:val="nil"/>
        </w:pBdr>
        <w:jc w:val="both"/>
        <w:rPr>
          <w:b/>
          <w:color w:val="000000"/>
        </w:rPr>
        <w:sectPr w:rsidR="00573699" w:rsidRPr="00724FD4">
          <w:headerReference w:type="even" r:id="rId12"/>
          <w:headerReference w:type="default" r:id="rId13"/>
          <w:pgSz w:w="11907" w:h="16840"/>
          <w:pgMar w:top="1701" w:right="1701" w:bottom="1701" w:left="1701" w:header="850" w:footer="454" w:gutter="0"/>
          <w:cols w:space="720"/>
        </w:sectPr>
      </w:pPr>
    </w:p>
    <w:p w14:paraId="6FC47B74" w14:textId="0A03FC45" w:rsidR="00573699" w:rsidRDefault="00573699" w:rsidP="00B53502">
      <w:pPr>
        <w:jc w:val="both"/>
      </w:pPr>
    </w:p>
    <w:p w14:paraId="55F1A5D4" w14:textId="77777777" w:rsidR="003C6F69" w:rsidRDefault="003C6F69" w:rsidP="00B53502">
      <w:pPr>
        <w:jc w:val="both"/>
      </w:pPr>
    </w:p>
    <w:p w14:paraId="5FC0F864" w14:textId="77777777" w:rsidR="00573699" w:rsidRDefault="00573699" w:rsidP="00B53502">
      <w:pPr>
        <w:pBdr>
          <w:top w:val="nil"/>
          <w:left w:val="nil"/>
          <w:bottom w:val="nil"/>
          <w:right w:val="nil"/>
          <w:between w:val="nil"/>
        </w:pBdr>
        <w:jc w:val="both"/>
        <w:rPr>
          <w:color w:val="000000"/>
        </w:rPr>
      </w:pPr>
    </w:p>
    <w:p w14:paraId="0905F9DC" w14:textId="77777777" w:rsidR="00573699" w:rsidRDefault="00573699" w:rsidP="00B53502">
      <w:pPr>
        <w:pBdr>
          <w:top w:val="nil"/>
          <w:left w:val="nil"/>
          <w:bottom w:val="nil"/>
          <w:right w:val="nil"/>
          <w:between w:val="nil"/>
        </w:pBdr>
        <w:ind w:firstLine="567"/>
        <w:jc w:val="both"/>
        <w:rPr>
          <w:color w:val="000000"/>
        </w:rPr>
      </w:pPr>
    </w:p>
    <w:p w14:paraId="454F251E" w14:textId="77777777" w:rsidR="00573699" w:rsidRDefault="00573699" w:rsidP="00B53502">
      <w:pPr>
        <w:pBdr>
          <w:top w:val="nil"/>
          <w:left w:val="nil"/>
          <w:bottom w:val="nil"/>
          <w:right w:val="nil"/>
          <w:between w:val="nil"/>
        </w:pBdr>
        <w:ind w:firstLine="567"/>
        <w:jc w:val="both"/>
        <w:rPr>
          <w:color w:val="000000"/>
        </w:rPr>
        <w:sectPr w:rsidR="00573699">
          <w:type w:val="continuous"/>
          <w:pgSz w:w="11907" w:h="16840"/>
          <w:pgMar w:top="1701" w:right="1701" w:bottom="1701" w:left="1701" w:header="850" w:footer="454" w:gutter="0"/>
          <w:cols w:num="2" w:space="720" w:equalWidth="0">
            <w:col w:w="4025" w:space="454"/>
            <w:col w:w="4025" w:space="0"/>
          </w:cols>
        </w:sectPr>
      </w:pPr>
    </w:p>
    <w:p w14:paraId="450A048E" w14:textId="77777777" w:rsidR="003C6F69" w:rsidRPr="003C6F69" w:rsidRDefault="003C6F69" w:rsidP="00B53502">
      <w:pPr>
        <w:pBdr>
          <w:top w:val="nil"/>
          <w:left w:val="nil"/>
          <w:bottom w:val="nil"/>
          <w:right w:val="nil"/>
          <w:between w:val="nil"/>
        </w:pBdr>
        <w:ind w:firstLine="567"/>
        <w:jc w:val="both"/>
        <w:rPr>
          <w:color w:val="000000"/>
          <w:lang w:val="en-US"/>
        </w:rPr>
      </w:pPr>
    </w:p>
    <w:sectPr w:rsidR="003C6F69" w:rsidRPr="003C6F69">
      <w:type w:val="continuous"/>
      <w:pgSz w:w="11907" w:h="16840"/>
      <w:pgMar w:top="1701" w:right="1701" w:bottom="1701"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A81F" w14:textId="77777777" w:rsidR="004065C2" w:rsidRDefault="004065C2">
      <w:r>
        <w:separator/>
      </w:r>
    </w:p>
  </w:endnote>
  <w:endnote w:type="continuationSeparator" w:id="0">
    <w:p w14:paraId="51603245" w14:textId="77777777" w:rsidR="004065C2" w:rsidRDefault="0040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EE45" w14:textId="77777777" w:rsidR="004065C2" w:rsidRDefault="004065C2">
      <w:r>
        <w:separator/>
      </w:r>
    </w:p>
  </w:footnote>
  <w:footnote w:type="continuationSeparator" w:id="0">
    <w:p w14:paraId="02D27602" w14:textId="77777777" w:rsidR="004065C2" w:rsidRDefault="0040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B29" w14:textId="77777777" w:rsidR="00573699" w:rsidRDefault="00573699">
    <w:pPr>
      <w:widowControl w:val="0"/>
      <w:pBdr>
        <w:top w:val="nil"/>
        <w:left w:val="nil"/>
        <w:bottom w:val="nil"/>
        <w:right w:val="nil"/>
        <w:between w:val="nil"/>
      </w:pBdr>
      <w:spacing w:line="276" w:lineRule="auto"/>
      <w:rPr>
        <w:color w:val="000000"/>
      </w:rPr>
    </w:pPr>
  </w:p>
  <w:tbl>
    <w:tblPr>
      <w:tblStyle w:val="a2"/>
      <w:tblW w:w="8312" w:type="dxa"/>
      <w:tblInd w:w="108" w:type="dxa"/>
      <w:tblBorders>
        <w:insideV w:val="single" w:sz="4" w:space="0" w:color="000000"/>
      </w:tblBorders>
      <w:tblLayout w:type="fixed"/>
      <w:tblLook w:val="0400" w:firstRow="0" w:lastRow="0" w:firstColumn="0" w:lastColumn="0" w:noHBand="0" w:noVBand="1"/>
    </w:tblPr>
    <w:tblGrid>
      <w:gridCol w:w="336"/>
      <w:gridCol w:w="7976"/>
    </w:tblGrid>
    <w:tr w:rsidR="00573699" w14:paraId="79E177E7" w14:textId="77777777">
      <w:tc>
        <w:tcPr>
          <w:tcW w:w="336" w:type="dxa"/>
        </w:tcPr>
        <w:p w14:paraId="1D6B37D8" w14:textId="77777777" w:rsidR="00573699" w:rsidRDefault="00ED482A">
          <w:pPr>
            <w:pBdr>
              <w:top w:val="nil"/>
              <w:left w:val="nil"/>
              <w:bottom w:val="nil"/>
              <w:right w:val="nil"/>
              <w:between w:val="nil"/>
            </w:pBdr>
            <w:tabs>
              <w:tab w:val="center" w:pos="4320"/>
              <w:tab w:val="right" w:pos="8640"/>
            </w:tabs>
            <w:jc w:val="right"/>
            <w:rPr>
              <w:b/>
              <w:color w:val="000000"/>
            </w:rPr>
          </w:pPr>
          <w:r>
            <w:rPr>
              <w:color w:val="000000"/>
            </w:rPr>
            <w:fldChar w:fldCharType="begin"/>
          </w:r>
          <w:r>
            <w:rPr>
              <w:color w:val="000000"/>
            </w:rPr>
            <w:instrText>PAGE</w:instrText>
          </w:r>
          <w:r>
            <w:rPr>
              <w:color w:val="000000"/>
            </w:rPr>
            <w:fldChar w:fldCharType="separate"/>
          </w:r>
          <w:r w:rsidR="00A90003">
            <w:rPr>
              <w:noProof/>
              <w:color w:val="000000"/>
            </w:rPr>
            <w:t>2</w:t>
          </w:r>
          <w:r>
            <w:rPr>
              <w:color w:val="000000"/>
            </w:rPr>
            <w:fldChar w:fldCharType="end"/>
          </w:r>
        </w:p>
      </w:tc>
      <w:tc>
        <w:tcPr>
          <w:tcW w:w="7976" w:type="dxa"/>
        </w:tcPr>
        <w:p w14:paraId="354A2E5D" w14:textId="77777777" w:rsidR="00573699" w:rsidRDefault="00ED482A">
          <w:pPr>
            <w:pBdr>
              <w:top w:val="nil"/>
              <w:left w:val="nil"/>
              <w:bottom w:val="nil"/>
              <w:right w:val="nil"/>
              <w:between w:val="nil"/>
            </w:pBdr>
            <w:tabs>
              <w:tab w:val="center" w:pos="4320"/>
              <w:tab w:val="right" w:pos="8640"/>
            </w:tabs>
            <w:rPr>
              <w:b/>
              <w:color w:val="000000"/>
            </w:rPr>
          </w:pPr>
          <w:r>
            <w:rPr>
              <w:b/>
              <w:i/>
              <w:color w:val="000000"/>
            </w:rPr>
            <w:t>Jurnal Pendidikan dan Pembelajaran Kimia</w:t>
          </w:r>
          <w:r>
            <w:rPr>
              <w:color w:val="000000"/>
            </w:rPr>
            <w:t>, Vol. ?, No. ? month year page ?-?</w:t>
          </w:r>
        </w:p>
      </w:tc>
    </w:tr>
  </w:tbl>
  <w:p w14:paraId="59C1DC1E" w14:textId="77777777" w:rsidR="00573699" w:rsidRDefault="00573699">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54B6" w14:textId="77777777" w:rsidR="00573699" w:rsidRDefault="00573699">
    <w:pPr>
      <w:widowControl w:val="0"/>
      <w:pBdr>
        <w:top w:val="nil"/>
        <w:left w:val="nil"/>
        <w:bottom w:val="nil"/>
        <w:right w:val="nil"/>
        <w:between w:val="nil"/>
      </w:pBdr>
      <w:spacing w:line="276" w:lineRule="auto"/>
      <w:rPr>
        <w:color w:val="000000"/>
      </w:rPr>
    </w:pPr>
  </w:p>
  <w:tbl>
    <w:tblPr>
      <w:tblStyle w:val="a1"/>
      <w:tblW w:w="8294" w:type="dxa"/>
      <w:tblInd w:w="108" w:type="dxa"/>
      <w:tblLayout w:type="fixed"/>
      <w:tblLook w:val="0000" w:firstRow="0" w:lastRow="0" w:firstColumn="0" w:lastColumn="0" w:noHBand="0" w:noVBand="0"/>
    </w:tblPr>
    <w:tblGrid>
      <w:gridCol w:w="7878"/>
      <w:gridCol w:w="416"/>
    </w:tblGrid>
    <w:tr w:rsidR="00573699" w14:paraId="767EDA1C" w14:textId="77777777">
      <w:tc>
        <w:tcPr>
          <w:tcW w:w="7878" w:type="dxa"/>
          <w:tcBorders>
            <w:right w:val="single" w:sz="6" w:space="0" w:color="000000"/>
          </w:tcBorders>
        </w:tcPr>
        <w:p w14:paraId="6356A35B" w14:textId="77777777" w:rsidR="00573699" w:rsidRDefault="00ED482A">
          <w:pPr>
            <w:pBdr>
              <w:top w:val="nil"/>
              <w:left w:val="nil"/>
              <w:bottom w:val="nil"/>
              <w:right w:val="nil"/>
              <w:between w:val="nil"/>
            </w:pBdr>
            <w:tabs>
              <w:tab w:val="center" w:pos="4320"/>
              <w:tab w:val="right" w:pos="8640"/>
            </w:tabs>
            <w:jc w:val="right"/>
            <w:rPr>
              <w:color w:val="000000"/>
            </w:rPr>
          </w:pPr>
          <w:r>
            <w:rPr>
              <w:b/>
              <w:i/>
              <w:color w:val="000000"/>
            </w:rPr>
            <w:t>Authoret al.</w:t>
          </w:r>
          <w:r>
            <w:rPr>
              <w:color w:val="000000"/>
            </w:rPr>
            <w:t>, Incomplete titleof the article ...</w:t>
          </w:r>
        </w:p>
      </w:tc>
      <w:tc>
        <w:tcPr>
          <w:tcW w:w="416" w:type="dxa"/>
          <w:tcBorders>
            <w:left w:val="single" w:sz="6" w:space="0" w:color="000000"/>
          </w:tcBorders>
        </w:tcPr>
        <w:p w14:paraId="0DC5C0B7" w14:textId="1B7C39F2" w:rsidR="00573699" w:rsidRDefault="00ED482A">
          <w:pPr>
            <w:pBdr>
              <w:top w:val="nil"/>
              <w:left w:val="nil"/>
              <w:bottom w:val="nil"/>
              <w:right w:val="nil"/>
              <w:between w:val="nil"/>
            </w:pBdr>
            <w:tabs>
              <w:tab w:val="center" w:pos="4320"/>
              <w:tab w:val="right" w:pos="8640"/>
            </w:tabs>
            <w:rPr>
              <w:b/>
              <w:color w:val="000000"/>
            </w:rPr>
          </w:pPr>
          <w:r>
            <w:rPr>
              <w:color w:val="000000"/>
            </w:rPr>
            <w:fldChar w:fldCharType="begin"/>
          </w:r>
          <w:r>
            <w:rPr>
              <w:color w:val="000000"/>
            </w:rPr>
            <w:instrText>PAGE</w:instrText>
          </w:r>
          <w:r>
            <w:rPr>
              <w:color w:val="000000"/>
            </w:rPr>
            <w:fldChar w:fldCharType="separate"/>
          </w:r>
          <w:r w:rsidR="00A90003">
            <w:rPr>
              <w:noProof/>
              <w:color w:val="000000"/>
            </w:rPr>
            <w:t>3</w:t>
          </w:r>
          <w:r>
            <w:rPr>
              <w:color w:val="000000"/>
            </w:rPr>
            <w:fldChar w:fldCharType="end"/>
          </w:r>
        </w:p>
      </w:tc>
    </w:tr>
  </w:tbl>
  <w:p w14:paraId="7B8255C3" w14:textId="77777777" w:rsidR="00573699" w:rsidRDefault="00573699">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AC0"/>
    <w:multiLevelType w:val="multilevel"/>
    <w:tmpl w:val="29ECA85C"/>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6A20C8"/>
    <w:multiLevelType w:val="hybridMultilevel"/>
    <w:tmpl w:val="524C993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6E1C"/>
    <w:multiLevelType w:val="hybridMultilevel"/>
    <w:tmpl w:val="3EE8B1C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CE6B3A"/>
    <w:multiLevelType w:val="hybridMultilevel"/>
    <w:tmpl w:val="77847046"/>
    <w:lvl w:ilvl="0" w:tplc="1B90B80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320E28"/>
    <w:multiLevelType w:val="multilevel"/>
    <w:tmpl w:val="8B0486E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CB4C05"/>
    <w:multiLevelType w:val="hybridMultilevel"/>
    <w:tmpl w:val="60760F1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E192D43"/>
    <w:multiLevelType w:val="hybridMultilevel"/>
    <w:tmpl w:val="2C7E59B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96E7FBF"/>
    <w:multiLevelType w:val="hybridMultilevel"/>
    <w:tmpl w:val="E2D21BB0"/>
    <w:lvl w:ilvl="0" w:tplc="592ED4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5691C9C"/>
    <w:multiLevelType w:val="hybridMultilevel"/>
    <w:tmpl w:val="B8169830"/>
    <w:lvl w:ilvl="0" w:tplc="0EA88E6A">
      <w:start w:val="1"/>
      <w:numFmt w:val="lowerLetter"/>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6172E34"/>
    <w:multiLevelType w:val="hybridMultilevel"/>
    <w:tmpl w:val="34167B40"/>
    <w:lvl w:ilvl="0" w:tplc="717896F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0"/>
  </w:num>
  <w:num w:numId="3">
    <w:abstractNumId w:val="1"/>
  </w:num>
  <w:num w:numId="4">
    <w:abstractNumId w:val="3"/>
  </w:num>
  <w:num w:numId="5">
    <w:abstractNumId w:val="8"/>
  </w:num>
  <w:num w:numId="6">
    <w:abstractNumId w:val="7"/>
  </w:num>
  <w:num w:numId="7">
    <w:abstractNumId w:val="9"/>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99"/>
    <w:rsid w:val="00015ED8"/>
    <w:rsid w:val="0003215D"/>
    <w:rsid w:val="000630D7"/>
    <w:rsid w:val="001343A7"/>
    <w:rsid w:val="0015669F"/>
    <w:rsid w:val="001E16E0"/>
    <w:rsid w:val="002508FE"/>
    <w:rsid w:val="003276EC"/>
    <w:rsid w:val="0035181F"/>
    <w:rsid w:val="00353DBE"/>
    <w:rsid w:val="003A265C"/>
    <w:rsid w:val="003A4E21"/>
    <w:rsid w:val="003C0742"/>
    <w:rsid w:val="003C6F69"/>
    <w:rsid w:val="003F6791"/>
    <w:rsid w:val="004065C2"/>
    <w:rsid w:val="004902A1"/>
    <w:rsid w:val="004A28FA"/>
    <w:rsid w:val="005115F9"/>
    <w:rsid w:val="005179FA"/>
    <w:rsid w:val="00573699"/>
    <w:rsid w:val="00586043"/>
    <w:rsid w:val="00724FD4"/>
    <w:rsid w:val="00774F46"/>
    <w:rsid w:val="00791FE7"/>
    <w:rsid w:val="007D15FA"/>
    <w:rsid w:val="008071CC"/>
    <w:rsid w:val="00811331"/>
    <w:rsid w:val="008A2D3A"/>
    <w:rsid w:val="008F0971"/>
    <w:rsid w:val="009339B1"/>
    <w:rsid w:val="00944656"/>
    <w:rsid w:val="009B09AE"/>
    <w:rsid w:val="009C6CC3"/>
    <w:rsid w:val="00A84A2D"/>
    <w:rsid w:val="00A90003"/>
    <w:rsid w:val="00AC5637"/>
    <w:rsid w:val="00AD4AEB"/>
    <w:rsid w:val="00B06CDB"/>
    <w:rsid w:val="00B158C6"/>
    <w:rsid w:val="00B53502"/>
    <w:rsid w:val="00B70849"/>
    <w:rsid w:val="00B94554"/>
    <w:rsid w:val="00BA0A27"/>
    <w:rsid w:val="00BB3B9D"/>
    <w:rsid w:val="00C920C5"/>
    <w:rsid w:val="00CC16B1"/>
    <w:rsid w:val="00CC4079"/>
    <w:rsid w:val="00CF3AD0"/>
    <w:rsid w:val="00D04FF6"/>
    <w:rsid w:val="00D956F6"/>
    <w:rsid w:val="00DC4B87"/>
    <w:rsid w:val="00E014EA"/>
    <w:rsid w:val="00E07B47"/>
    <w:rsid w:val="00E11234"/>
    <w:rsid w:val="00ED482A"/>
    <w:rsid w:val="00F00ACF"/>
    <w:rsid w:val="00F4375F"/>
    <w:rsid w:val="00F51AA3"/>
    <w:rsid w:val="00F863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690F"/>
  <w15:docId w15:val="{4AE9A09F-12CB-46A3-8C47-68355493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713866"/>
    <w:pPr>
      <w:spacing w:after="60"/>
      <w:jc w:val="center"/>
    </w:pPr>
    <w:rPr>
      <w:b/>
      <w:sz w:val="22"/>
    </w:rPr>
  </w:style>
  <w:style w:type="paragraph" w:customStyle="1" w:styleId="E-JOURNALTitle">
    <w:name w:val="E-JOURNAL_Title"/>
    <w:basedOn w:val="Normal"/>
    <w:qFormat/>
    <w:rsid w:val="003E413F"/>
    <w:pPr>
      <w:ind w:firstLine="567"/>
      <w:jc w:val="center"/>
    </w:pPr>
    <w:rPr>
      <w:b/>
      <w:sz w:val="22"/>
      <w:szCs w:val="22"/>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2"/>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eastAsia="ja-JP"/>
    </w:rPr>
  </w:style>
  <w:style w:type="character" w:customStyle="1" w:styleId="CommentTextChar">
    <w:name w:val="Comment Text Char"/>
    <w:link w:val="CommentText"/>
    <w:rsid w:val="00F34D11"/>
    <w:rPr>
      <w:rFonts w:ascii="Arial" w:eastAsia="MS Mincho" w:hAnsi="Arial"/>
      <w:lang w:eastAsia="ja-JP"/>
    </w:rPr>
  </w:style>
  <w:style w:type="paragraph" w:styleId="ListParagraph">
    <w:name w:val="List Paragraph"/>
    <w:aliases w:val="Body of text,Normal1,List Paragraph1,Medium Grid 1 - Accent 21,Body of text+1,Body of text+2,Body of text+3,List Paragraph11"/>
    <w:basedOn w:val="Normal"/>
    <w:link w:val="ListParagraphChar"/>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0">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character" w:styleId="Strong">
    <w:name w:val="Strong"/>
    <w:basedOn w:val="DefaultParagraphFont"/>
    <w:uiPriority w:val="22"/>
    <w:qFormat/>
    <w:rsid w:val="005838D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90003"/>
    <w:rPr>
      <w:color w:val="605E5C"/>
      <w:shd w:val="clear" w:color="auto" w:fill="E1DFDD"/>
    </w:rPr>
  </w:style>
  <w:style w:type="character" w:customStyle="1" w:styleId="ListParagraphChar">
    <w:name w:val="List Paragraph Char"/>
    <w:aliases w:val="Body of text Char,Normal1 Char,List Paragraph1 Char,Medium Grid 1 - Accent 21 Char,Body of text+1 Char,Body of text+2 Char,Body of text+3 Char,List Paragraph11 Char"/>
    <w:basedOn w:val="DefaultParagraphFont"/>
    <w:link w:val="ListParagraph"/>
    <w:uiPriority w:val="34"/>
    <w:rsid w:val="00E11234"/>
    <w:rPr>
      <w:lang w:val="en-GB" w:eastAsia="en-GB"/>
    </w:rPr>
  </w:style>
  <w:style w:type="character" w:customStyle="1" w:styleId="fontstyle01">
    <w:name w:val="fontstyle01"/>
    <w:basedOn w:val="DefaultParagraphFont"/>
    <w:rsid w:val="0015669F"/>
    <w:rPr>
      <w:rFonts w:ascii="Times-Roman" w:hAnsi="Times-Roman" w:hint="default"/>
      <w:b w:val="0"/>
      <w:bCs w:val="0"/>
      <w:i w:val="0"/>
      <w:iCs w:val="0"/>
      <w:color w:val="000000"/>
      <w:sz w:val="24"/>
      <w:szCs w:val="24"/>
    </w:rPr>
  </w:style>
  <w:style w:type="paragraph" w:styleId="HTMLPreformatted">
    <w:name w:val="HTML Preformatted"/>
    <w:basedOn w:val="Normal"/>
    <w:link w:val="HTMLPreformattedChar"/>
    <w:uiPriority w:val="99"/>
    <w:unhideWhenUsed/>
    <w:rsid w:val="003A2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3A265C"/>
    <w:rPr>
      <w:rFonts w:ascii="Courier New" w:hAnsi="Courier New" w:cs="Courier New"/>
      <w:sz w:val="20"/>
      <w:szCs w:val="20"/>
      <w:lang w:val="en-ID"/>
    </w:rPr>
  </w:style>
  <w:style w:type="character" w:customStyle="1" w:styleId="y2iqfc">
    <w:name w:val="y2iqfc"/>
    <w:basedOn w:val="DefaultParagraphFont"/>
    <w:rsid w:val="003A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335">
      <w:bodyDiv w:val="1"/>
      <w:marLeft w:val="0"/>
      <w:marRight w:val="0"/>
      <w:marTop w:val="0"/>
      <w:marBottom w:val="0"/>
      <w:divBdr>
        <w:top w:val="none" w:sz="0" w:space="0" w:color="auto"/>
        <w:left w:val="none" w:sz="0" w:space="0" w:color="auto"/>
        <w:bottom w:val="none" w:sz="0" w:space="0" w:color="auto"/>
        <w:right w:val="none" w:sz="0" w:space="0" w:color="auto"/>
      </w:divBdr>
    </w:div>
    <w:div w:id="281960844">
      <w:bodyDiv w:val="1"/>
      <w:marLeft w:val="0"/>
      <w:marRight w:val="0"/>
      <w:marTop w:val="0"/>
      <w:marBottom w:val="0"/>
      <w:divBdr>
        <w:top w:val="none" w:sz="0" w:space="0" w:color="auto"/>
        <w:left w:val="none" w:sz="0" w:space="0" w:color="auto"/>
        <w:bottom w:val="none" w:sz="0" w:space="0" w:color="auto"/>
        <w:right w:val="none" w:sz="0" w:space="0" w:color="auto"/>
      </w:divBdr>
    </w:div>
    <w:div w:id="344744821">
      <w:bodyDiv w:val="1"/>
      <w:marLeft w:val="0"/>
      <w:marRight w:val="0"/>
      <w:marTop w:val="0"/>
      <w:marBottom w:val="0"/>
      <w:divBdr>
        <w:top w:val="none" w:sz="0" w:space="0" w:color="auto"/>
        <w:left w:val="none" w:sz="0" w:space="0" w:color="auto"/>
        <w:bottom w:val="none" w:sz="0" w:space="0" w:color="auto"/>
        <w:right w:val="none" w:sz="0" w:space="0" w:color="auto"/>
      </w:divBdr>
    </w:div>
    <w:div w:id="481852236">
      <w:bodyDiv w:val="1"/>
      <w:marLeft w:val="0"/>
      <w:marRight w:val="0"/>
      <w:marTop w:val="0"/>
      <w:marBottom w:val="0"/>
      <w:divBdr>
        <w:top w:val="none" w:sz="0" w:space="0" w:color="auto"/>
        <w:left w:val="none" w:sz="0" w:space="0" w:color="auto"/>
        <w:bottom w:val="none" w:sz="0" w:space="0" w:color="auto"/>
        <w:right w:val="none" w:sz="0" w:space="0" w:color="auto"/>
      </w:divBdr>
    </w:div>
    <w:div w:id="493492023">
      <w:bodyDiv w:val="1"/>
      <w:marLeft w:val="0"/>
      <w:marRight w:val="0"/>
      <w:marTop w:val="0"/>
      <w:marBottom w:val="0"/>
      <w:divBdr>
        <w:top w:val="none" w:sz="0" w:space="0" w:color="auto"/>
        <w:left w:val="none" w:sz="0" w:space="0" w:color="auto"/>
        <w:bottom w:val="none" w:sz="0" w:space="0" w:color="auto"/>
        <w:right w:val="none" w:sz="0" w:space="0" w:color="auto"/>
      </w:divBdr>
    </w:div>
    <w:div w:id="520317662">
      <w:bodyDiv w:val="1"/>
      <w:marLeft w:val="0"/>
      <w:marRight w:val="0"/>
      <w:marTop w:val="0"/>
      <w:marBottom w:val="0"/>
      <w:divBdr>
        <w:top w:val="none" w:sz="0" w:space="0" w:color="auto"/>
        <w:left w:val="none" w:sz="0" w:space="0" w:color="auto"/>
        <w:bottom w:val="none" w:sz="0" w:space="0" w:color="auto"/>
        <w:right w:val="none" w:sz="0" w:space="0" w:color="auto"/>
      </w:divBdr>
    </w:div>
    <w:div w:id="523976669">
      <w:bodyDiv w:val="1"/>
      <w:marLeft w:val="0"/>
      <w:marRight w:val="0"/>
      <w:marTop w:val="0"/>
      <w:marBottom w:val="0"/>
      <w:divBdr>
        <w:top w:val="none" w:sz="0" w:space="0" w:color="auto"/>
        <w:left w:val="none" w:sz="0" w:space="0" w:color="auto"/>
        <w:bottom w:val="none" w:sz="0" w:space="0" w:color="auto"/>
        <w:right w:val="none" w:sz="0" w:space="0" w:color="auto"/>
      </w:divBdr>
    </w:div>
    <w:div w:id="619189187">
      <w:bodyDiv w:val="1"/>
      <w:marLeft w:val="0"/>
      <w:marRight w:val="0"/>
      <w:marTop w:val="0"/>
      <w:marBottom w:val="0"/>
      <w:divBdr>
        <w:top w:val="none" w:sz="0" w:space="0" w:color="auto"/>
        <w:left w:val="none" w:sz="0" w:space="0" w:color="auto"/>
        <w:bottom w:val="none" w:sz="0" w:space="0" w:color="auto"/>
        <w:right w:val="none" w:sz="0" w:space="0" w:color="auto"/>
      </w:divBdr>
    </w:div>
    <w:div w:id="635141373">
      <w:bodyDiv w:val="1"/>
      <w:marLeft w:val="0"/>
      <w:marRight w:val="0"/>
      <w:marTop w:val="0"/>
      <w:marBottom w:val="0"/>
      <w:divBdr>
        <w:top w:val="none" w:sz="0" w:space="0" w:color="auto"/>
        <w:left w:val="none" w:sz="0" w:space="0" w:color="auto"/>
        <w:bottom w:val="none" w:sz="0" w:space="0" w:color="auto"/>
        <w:right w:val="none" w:sz="0" w:space="0" w:color="auto"/>
      </w:divBdr>
    </w:div>
    <w:div w:id="651450565">
      <w:bodyDiv w:val="1"/>
      <w:marLeft w:val="0"/>
      <w:marRight w:val="0"/>
      <w:marTop w:val="0"/>
      <w:marBottom w:val="0"/>
      <w:divBdr>
        <w:top w:val="none" w:sz="0" w:space="0" w:color="auto"/>
        <w:left w:val="none" w:sz="0" w:space="0" w:color="auto"/>
        <w:bottom w:val="none" w:sz="0" w:space="0" w:color="auto"/>
        <w:right w:val="none" w:sz="0" w:space="0" w:color="auto"/>
      </w:divBdr>
    </w:div>
    <w:div w:id="670109937">
      <w:bodyDiv w:val="1"/>
      <w:marLeft w:val="0"/>
      <w:marRight w:val="0"/>
      <w:marTop w:val="0"/>
      <w:marBottom w:val="0"/>
      <w:divBdr>
        <w:top w:val="none" w:sz="0" w:space="0" w:color="auto"/>
        <w:left w:val="none" w:sz="0" w:space="0" w:color="auto"/>
        <w:bottom w:val="none" w:sz="0" w:space="0" w:color="auto"/>
        <w:right w:val="none" w:sz="0" w:space="0" w:color="auto"/>
      </w:divBdr>
    </w:div>
    <w:div w:id="676926415">
      <w:bodyDiv w:val="1"/>
      <w:marLeft w:val="0"/>
      <w:marRight w:val="0"/>
      <w:marTop w:val="0"/>
      <w:marBottom w:val="0"/>
      <w:divBdr>
        <w:top w:val="none" w:sz="0" w:space="0" w:color="auto"/>
        <w:left w:val="none" w:sz="0" w:space="0" w:color="auto"/>
        <w:bottom w:val="none" w:sz="0" w:space="0" w:color="auto"/>
        <w:right w:val="none" w:sz="0" w:space="0" w:color="auto"/>
      </w:divBdr>
    </w:div>
    <w:div w:id="888224156">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21599924">
      <w:bodyDiv w:val="1"/>
      <w:marLeft w:val="0"/>
      <w:marRight w:val="0"/>
      <w:marTop w:val="0"/>
      <w:marBottom w:val="0"/>
      <w:divBdr>
        <w:top w:val="none" w:sz="0" w:space="0" w:color="auto"/>
        <w:left w:val="none" w:sz="0" w:space="0" w:color="auto"/>
        <w:bottom w:val="none" w:sz="0" w:space="0" w:color="auto"/>
        <w:right w:val="none" w:sz="0" w:space="0" w:color="auto"/>
      </w:divBdr>
    </w:div>
    <w:div w:id="1228882735">
      <w:bodyDiv w:val="1"/>
      <w:marLeft w:val="0"/>
      <w:marRight w:val="0"/>
      <w:marTop w:val="0"/>
      <w:marBottom w:val="0"/>
      <w:divBdr>
        <w:top w:val="none" w:sz="0" w:space="0" w:color="auto"/>
        <w:left w:val="none" w:sz="0" w:space="0" w:color="auto"/>
        <w:bottom w:val="none" w:sz="0" w:space="0" w:color="auto"/>
        <w:right w:val="none" w:sz="0" w:space="0" w:color="auto"/>
      </w:divBdr>
    </w:div>
    <w:div w:id="1366757294">
      <w:bodyDiv w:val="1"/>
      <w:marLeft w:val="0"/>
      <w:marRight w:val="0"/>
      <w:marTop w:val="0"/>
      <w:marBottom w:val="0"/>
      <w:divBdr>
        <w:top w:val="none" w:sz="0" w:space="0" w:color="auto"/>
        <w:left w:val="none" w:sz="0" w:space="0" w:color="auto"/>
        <w:bottom w:val="none" w:sz="0" w:space="0" w:color="auto"/>
        <w:right w:val="none" w:sz="0" w:space="0" w:color="auto"/>
      </w:divBdr>
    </w:div>
    <w:div w:id="1495995124">
      <w:bodyDiv w:val="1"/>
      <w:marLeft w:val="0"/>
      <w:marRight w:val="0"/>
      <w:marTop w:val="0"/>
      <w:marBottom w:val="0"/>
      <w:divBdr>
        <w:top w:val="none" w:sz="0" w:space="0" w:color="auto"/>
        <w:left w:val="none" w:sz="0" w:space="0" w:color="auto"/>
        <w:bottom w:val="none" w:sz="0" w:space="0" w:color="auto"/>
        <w:right w:val="none" w:sz="0" w:space="0" w:color="auto"/>
      </w:divBdr>
    </w:div>
    <w:div w:id="1579092313">
      <w:bodyDiv w:val="1"/>
      <w:marLeft w:val="0"/>
      <w:marRight w:val="0"/>
      <w:marTop w:val="0"/>
      <w:marBottom w:val="0"/>
      <w:divBdr>
        <w:top w:val="none" w:sz="0" w:space="0" w:color="auto"/>
        <w:left w:val="none" w:sz="0" w:space="0" w:color="auto"/>
        <w:bottom w:val="none" w:sz="0" w:space="0" w:color="auto"/>
        <w:right w:val="none" w:sz="0" w:space="0" w:color="auto"/>
      </w:divBdr>
    </w:div>
    <w:div w:id="1588349040">
      <w:bodyDiv w:val="1"/>
      <w:marLeft w:val="0"/>
      <w:marRight w:val="0"/>
      <w:marTop w:val="0"/>
      <w:marBottom w:val="0"/>
      <w:divBdr>
        <w:top w:val="none" w:sz="0" w:space="0" w:color="auto"/>
        <w:left w:val="none" w:sz="0" w:space="0" w:color="auto"/>
        <w:bottom w:val="none" w:sz="0" w:space="0" w:color="auto"/>
        <w:right w:val="none" w:sz="0" w:space="0" w:color="auto"/>
      </w:divBdr>
    </w:div>
    <w:div w:id="1609309838">
      <w:bodyDiv w:val="1"/>
      <w:marLeft w:val="0"/>
      <w:marRight w:val="0"/>
      <w:marTop w:val="0"/>
      <w:marBottom w:val="0"/>
      <w:divBdr>
        <w:top w:val="none" w:sz="0" w:space="0" w:color="auto"/>
        <w:left w:val="none" w:sz="0" w:space="0" w:color="auto"/>
        <w:bottom w:val="none" w:sz="0" w:space="0" w:color="auto"/>
        <w:right w:val="none" w:sz="0" w:space="0" w:color="auto"/>
      </w:divBdr>
    </w:div>
    <w:div w:id="1645502077">
      <w:bodyDiv w:val="1"/>
      <w:marLeft w:val="0"/>
      <w:marRight w:val="0"/>
      <w:marTop w:val="0"/>
      <w:marBottom w:val="0"/>
      <w:divBdr>
        <w:top w:val="none" w:sz="0" w:space="0" w:color="auto"/>
        <w:left w:val="none" w:sz="0" w:space="0" w:color="auto"/>
        <w:bottom w:val="none" w:sz="0" w:space="0" w:color="auto"/>
        <w:right w:val="none" w:sz="0" w:space="0" w:color="auto"/>
      </w:divBdr>
    </w:div>
    <w:div w:id="1868250997">
      <w:bodyDiv w:val="1"/>
      <w:marLeft w:val="0"/>
      <w:marRight w:val="0"/>
      <w:marTop w:val="0"/>
      <w:marBottom w:val="0"/>
      <w:divBdr>
        <w:top w:val="none" w:sz="0" w:space="0" w:color="auto"/>
        <w:left w:val="none" w:sz="0" w:space="0" w:color="auto"/>
        <w:bottom w:val="none" w:sz="0" w:space="0" w:color="auto"/>
        <w:right w:val="none" w:sz="0" w:space="0" w:color="auto"/>
      </w:divBdr>
    </w:div>
    <w:div w:id="1897163510">
      <w:bodyDiv w:val="1"/>
      <w:marLeft w:val="0"/>
      <w:marRight w:val="0"/>
      <w:marTop w:val="0"/>
      <w:marBottom w:val="0"/>
      <w:divBdr>
        <w:top w:val="none" w:sz="0" w:space="0" w:color="auto"/>
        <w:left w:val="none" w:sz="0" w:space="0" w:color="auto"/>
        <w:bottom w:val="none" w:sz="0" w:space="0" w:color="auto"/>
        <w:right w:val="none" w:sz="0" w:space="0" w:color="auto"/>
      </w:divBdr>
    </w:div>
    <w:div w:id="1995642534">
      <w:bodyDiv w:val="1"/>
      <w:marLeft w:val="0"/>
      <w:marRight w:val="0"/>
      <w:marTop w:val="0"/>
      <w:marBottom w:val="0"/>
      <w:divBdr>
        <w:top w:val="none" w:sz="0" w:space="0" w:color="auto"/>
        <w:left w:val="none" w:sz="0" w:space="0" w:color="auto"/>
        <w:bottom w:val="none" w:sz="0" w:space="0" w:color="auto"/>
        <w:right w:val="none" w:sz="0" w:space="0" w:color="auto"/>
      </w:divBdr>
    </w:div>
    <w:div w:id="2010011866">
      <w:bodyDiv w:val="1"/>
      <w:marLeft w:val="0"/>
      <w:marRight w:val="0"/>
      <w:marTop w:val="0"/>
      <w:marBottom w:val="0"/>
      <w:divBdr>
        <w:top w:val="none" w:sz="0" w:space="0" w:color="auto"/>
        <w:left w:val="none" w:sz="0" w:space="0" w:color="auto"/>
        <w:bottom w:val="none" w:sz="0" w:space="0" w:color="auto"/>
        <w:right w:val="none" w:sz="0" w:space="0" w:color="auto"/>
      </w:divBdr>
    </w:div>
    <w:div w:id="204540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citations?view_op=view_citation&amp;hl=en&amp;user=83gux5AAAAAJ&amp;citation_for_view=83gux5AAAAAJ:qjMakFHDy7s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rot="0" vert="horz"/>
          <a:lstStyle/>
          <a:p>
            <a:pPr>
              <a:defRPr/>
            </a:pPr>
            <a:r>
              <a:rPr lang="en-ID" sz="1200" b="1" i="0" u="none" strike="noStrike" baseline="0">
                <a:effectLst/>
                <a:latin typeface="Times New Roman" panose="02020603050405020304" pitchFamily="18" charset="0"/>
                <a:cs typeface="Times New Roman" panose="02020603050405020304" pitchFamily="18" charset="0"/>
              </a:rPr>
              <a:t>Results of Pretest and Posttest Values ​​for Experiment Class 1 and Experiment Class 2</a:t>
            </a:r>
            <a:endParaRPr lang="en-US" sz="1200">
              <a:latin typeface="Times New Roman" pitchFamily="18" charset="0"/>
              <a:cs typeface="Times New Roman" pitchFamily="18" charset="0"/>
            </a:endParaRPr>
          </a:p>
        </c:rich>
      </c:tx>
      <c:layout>
        <c:manualLayout>
          <c:xMode val="edge"/>
          <c:yMode val="edge"/>
          <c:x val="0.17634317018598644"/>
          <c:y val="3.1928480204342274E-2"/>
        </c:manualLayout>
      </c:layout>
      <c:overlay val="1"/>
    </c:title>
    <c:autoTitleDeleted val="0"/>
    <c:plotArea>
      <c:layout>
        <c:manualLayout>
          <c:layoutTarget val="inner"/>
          <c:xMode val="edge"/>
          <c:yMode val="edge"/>
          <c:x val="0.11207238863328466"/>
          <c:y val="0.23343455788163017"/>
          <c:w val="0.75836504205887212"/>
          <c:h val="0.65171105642185234"/>
        </c:manualLayout>
      </c:layout>
      <c:barChart>
        <c:barDir val="col"/>
        <c:grouping val="clustered"/>
        <c:varyColors val="0"/>
        <c:ser>
          <c:idx val="0"/>
          <c:order val="0"/>
          <c:tx>
            <c:strRef>
              <c:f>Sheet1!$B$1</c:f>
              <c:strCache>
                <c:ptCount val="1"/>
                <c:pt idx="0">
                  <c:v>Eksperimental 1</c:v>
                </c:pt>
              </c:strCache>
            </c:strRef>
          </c:tx>
          <c:spPr>
            <a:solidFill>
              <a:srgbClr val="00B0F0"/>
            </a:solidFill>
          </c:spPr>
          <c:invertIfNegative val="0"/>
          <c:dLbls>
            <c:dLbl>
              <c:idx val="1"/>
              <c:layout>
                <c:manualLayout>
                  <c:x val="-1.1574074074074075E-2"/>
                  <c:y val="7.93650793650794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D8-4B86-8D95-C32F564C1838}"/>
                </c:ext>
              </c:extLst>
            </c:dLbl>
            <c:dLbl>
              <c:idx val="2"/>
              <c:layout>
                <c:manualLayout>
                  <c:x val="2.31481481481473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D8-4B86-8D95-C32F564C1838}"/>
                </c:ext>
              </c:extLst>
            </c:dLbl>
            <c:spPr>
              <a:noFill/>
              <a:ln>
                <a:noFill/>
              </a:ln>
              <a:effectLst/>
            </c:spPr>
            <c:txPr>
              <a:bodyPr rot="0" vert="horz"/>
              <a:lstStyle/>
              <a:p>
                <a:pPr>
                  <a:defRPr sz="105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Pretest</c:v>
                </c:pt>
                <c:pt idx="1">
                  <c:v>Posttest</c:v>
                </c:pt>
              </c:strCache>
            </c:strRef>
          </c:cat>
          <c:val>
            <c:numRef>
              <c:f>Sheet1!$B$2:$B$5</c:f>
              <c:numCache>
                <c:formatCode>General</c:formatCode>
                <c:ptCount val="4"/>
                <c:pt idx="0">
                  <c:v>38.33</c:v>
                </c:pt>
                <c:pt idx="1">
                  <c:v>75.42</c:v>
                </c:pt>
              </c:numCache>
            </c:numRef>
          </c:val>
          <c:extLst>
            <c:ext xmlns:c16="http://schemas.microsoft.com/office/drawing/2014/chart" uri="{C3380CC4-5D6E-409C-BE32-E72D297353CC}">
              <c16:uniqueId val="{00000002-26D8-4B86-8D95-C32F564C1838}"/>
            </c:ext>
          </c:extLst>
        </c:ser>
        <c:ser>
          <c:idx val="1"/>
          <c:order val="1"/>
          <c:tx>
            <c:strRef>
              <c:f>Sheet1!$C$1</c:f>
              <c:strCache>
                <c:ptCount val="1"/>
                <c:pt idx="0">
                  <c:v>Eksperimental 2</c:v>
                </c:pt>
              </c:strCache>
            </c:strRef>
          </c:tx>
          <c:invertIfNegative val="0"/>
          <c:dLbls>
            <c:dLbl>
              <c:idx val="0"/>
              <c:layout>
                <c:manualLayout>
                  <c:x val="1.6203703703703724E-2"/>
                  <c:y val="1.1904761904761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D8-4B86-8D95-C32F564C1838}"/>
                </c:ext>
              </c:extLst>
            </c:dLbl>
            <c:dLbl>
              <c:idx val="1"/>
              <c:layout>
                <c:manualLayout>
                  <c:x val="1.157407407407403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D8-4B86-8D95-C32F564C1838}"/>
                </c:ext>
              </c:extLst>
            </c:dLbl>
            <c:dLbl>
              <c:idx val="2"/>
              <c:layout>
                <c:manualLayout>
                  <c:x val="2.3148148148148147E-2"/>
                  <c:y val="3.96825396825397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D8-4B86-8D95-C32F564C1838}"/>
                </c:ext>
              </c:extLst>
            </c:dLbl>
            <c:spPr>
              <a:noFill/>
              <a:ln>
                <a:noFill/>
              </a:ln>
              <a:effectLst/>
            </c:spPr>
            <c:txPr>
              <a:bodyPr rot="0" vert="horz"/>
              <a:lstStyle/>
              <a:p>
                <a:pPr>
                  <a:defRPr sz="105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Pretest</c:v>
                </c:pt>
                <c:pt idx="1">
                  <c:v>Posttest</c:v>
                </c:pt>
              </c:strCache>
            </c:strRef>
          </c:cat>
          <c:val>
            <c:numRef>
              <c:f>Sheet1!$C$2:$C$5</c:f>
              <c:numCache>
                <c:formatCode>General</c:formatCode>
                <c:ptCount val="4"/>
                <c:pt idx="0">
                  <c:v>34.17</c:v>
                </c:pt>
                <c:pt idx="1">
                  <c:v>69.790000000000006</c:v>
                </c:pt>
              </c:numCache>
            </c:numRef>
          </c:val>
          <c:extLst>
            <c:ext xmlns:c16="http://schemas.microsoft.com/office/drawing/2014/chart" uri="{C3380CC4-5D6E-409C-BE32-E72D297353CC}">
              <c16:uniqueId val="{00000006-26D8-4B86-8D95-C32F564C1838}"/>
            </c:ext>
          </c:extLst>
        </c:ser>
        <c:ser>
          <c:idx val="2"/>
          <c:order val="2"/>
          <c:tx>
            <c:strRef>
              <c:f>Sheet1!$D$1</c:f>
              <c:strCache>
                <c:ptCount val="1"/>
                <c:pt idx="0">
                  <c:v>Column1</c:v>
                </c:pt>
              </c:strCache>
            </c:strRef>
          </c:tx>
          <c:invertIfNegative val="0"/>
          <c:cat>
            <c:strRef>
              <c:f>Sheet1!$A$2:$A$5</c:f>
              <c:strCache>
                <c:ptCount val="2"/>
                <c:pt idx="0">
                  <c:v>Pretest</c:v>
                </c:pt>
                <c:pt idx="1">
                  <c:v>Posttest</c:v>
                </c:pt>
              </c:strCache>
            </c:strRef>
          </c:cat>
          <c:val>
            <c:numRef>
              <c:f>Sheet1!$D$2:$D$5</c:f>
              <c:numCache>
                <c:formatCode>General</c:formatCode>
                <c:ptCount val="4"/>
              </c:numCache>
            </c:numRef>
          </c:val>
          <c:extLst>
            <c:ext xmlns:c16="http://schemas.microsoft.com/office/drawing/2014/chart" uri="{C3380CC4-5D6E-409C-BE32-E72D297353CC}">
              <c16:uniqueId val="{00000007-26D8-4B86-8D95-C32F564C1838}"/>
            </c:ext>
          </c:extLst>
        </c:ser>
        <c:dLbls>
          <c:showLegendKey val="0"/>
          <c:showVal val="0"/>
          <c:showCatName val="0"/>
          <c:showSerName val="0"/>
          <c:showPercent val="0"/>
          <c:showBubbleSize val="0"/>
        </c:dLbls>
        <c:gapWidth val="100"/>
        <c:overlap val="-24"/>
        <c:axId val="115681152"/>
        <c:axId val="115701632"/>
      </c:barChart>
      <c:catAx>
        <c:axId val="115681152"/>
        <c:scaling>
          <c:orientation val="minMax"/>
        </c:scaling>
        <c:delete val="1"/>
        <c:axPos val="b"/>
        <c:title>
          <c:tx>
            <c:rich>
              <a:bodyPr/>
              <a:lstStyle/>
              <a:p>
                <a:pPr>
                  <a:defRPr sz="1100">
                    <a:latin typeface="Times New Roman" pitchFamily="18" charset="0"/>
                    <a:cs typeface="Times New Roman" pitchFamily="18" charset="0"/>
                  </a:defRPr>
                </a:pPr>
                <a:r>
                  <a:rPr lang="en-US" sz="1100" i="1">
                    <a:latin typeface="Times New Roman" pitchFamily="18" charset="0"/>
                    <a:cs typeface="Times New Roman" pitchFamily="18" charset="0"/>
                  </a:rPr>
                  <a:t>Pretest                 Posttest</a:t>
                </a:r>
              </a:p>
            </c:rich>
          </c:tx>
          <c:layout>
            <c:manualLayout>
              <c:xMode val="edge"/>
              <c:yMode val="edge"/>
              <c:x val="0.11740861115764785"/>
              <c:y val="0.87942166188763971"/>
            </c:manualLayout>
          </c:layout>
          <c:overlay val="0"/>
        </c:title>
        <c:numFmt formatCode="General" sourceLinked="1"/>
        <c:majorTickMark val="none"/>
        <c:minorTickMark val="none"/>
        <c:tickLblPos val="nextTo"/>
        <c:crossAx val="115701632"/>
        <c:crossesAt val="0"/>
        <c:auto val="1"/>
        <c:lblAlgn val="ctr"/>
        <c:lblOffset val="100"/>
        <c:noMultiLvlLbl val="0"/>
      </c:catAx>
      <c:valAx>
        <c:axId val="115701632"/>
        <c:scaling>
          <c:orientation val="minMax"/>
          <c:max val="80"/>
          <c:min val="10"/>
        </c:scaling>
        <c:delete val="0"/>
        <c:axPos val="l"/>
        <c:majorGridlines/>
        <c:title>
          <c:tx>
            <c:rich>
              <a:bodyPr rot="-5400000" vert="horz"/>
              <a:lstStyle/>
              <a:p>
                <a:pPr>
                  <a:defRPr/>
                </a:pPr>
                <a:r>
                  <a:rPr lang="en-US" sz="1200">
                    <a:latin typeface="Times New Roman" panose="02020603050405020304" pitchFamily="18" charset="0"/>
                    <a:cs typeface="Times New Roman" panose="02020603050405020304" pitchFamily="18" charset="0"/>
                  </a:rPr>
                  <a:t>Score</a:t>
                </a:r>
                <a:r>
                  <a:rPr lang="en-US"/>
                  <a:t> </a:t>
                </a:r>
              </a:p>
            </c:rich>
          </c:tx>
          <c:layout>
            <c:manualLayout>
              <c:xMode val="edge"/>
              <c:yMode val="edge"/>
              <c:x val="6.4479054983951241E-3"/>
              <c:y val="0.48821981765686945"/>
            </c:manualLayout>
          </c:layout>
          <c:overlay val="0"/>
        </c:title>
        <c:numFmt formatCode="General" sourceLinked="1"/>
        <c:majorTickMark val="none"/>
        <c:minorTickMark val="none"/>
        <c:tickLblPos val="nextTo"/>
        <c:txPr>
          <a:bodyPr rot="-60000000" vert="horz"/>
          <a:lstStyle/>
          <a:p>
            <a:pPr>
              <a:defRPr sz="1100">
                <a:latin typeface="Times New Roman" pitchFamily="18" charset="0"/>
                <a:cs typeface="Times New Roman" pitchFamily="18" charset="0"/>
              </a:defRPr>
            </a:pPr>
            <a:endParaRPr lang="en-US"/>
          </a:p>
        </c:txPr>
        <c:crossAx val="115681152"/>
        <c:crosses val="autoZero"/>
        <c:crossBetween val="between"/>
        <c:minorUnit val="1.0000000000000005E-2"/>
      </c:valAx>
    </c:plotArea>
    <c:legend>
      <c:legendPos val="b"/>
      <c:legendEntry>
        <c:idx val="2"/>
        <c:delete val="1"/>
      </c:legendEntry>
      <c:layout>
        <c:manualLayout>
          <c:xMode val="edge"/>
          <c:yMode val="edge"/>
          <c:x val="0.67825450187319514"/>
          <c:y val="0.80393914303947922"/>
          <c:w val="0.29187600972244543"/>
          <c:h val="0.17818322040335172"/>
        </c:manualLayout>
      </c:layout>
      <c:overlay val="0"/>
      <c:txPr>
        <a:bodyPr rot="0" vert="horz"/>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aseline="0">
                <a:latin typeface="Times New Roman" pitchFamily="18" charset="0"/>
                <a:cs typeface="Times New Roman" pitchFamily="18" charset="0"/>
              </a:rPr>
              <a:t> </a:t>
            </a:r>
            <a:r>
              <a:rPr lang="en-US" sz="1100" baseline="0">
                <a:latin typeface="Times New Roman" pitchFamily="18" charset="0"/>
                <a:cs typeface="Times New Roman" pitchFamily="18" charset="0"/>
              </a:rPr>
              <a:t>The comparison of the average percentage value (%) of psychomotor learning outcomes from 3 meetings for experimental class 1 and experiment 2 can be seen in Figure 2.</a:t>
            </a:r>
            <a:endParaRPr lang="en-US" sz="1100">
              <a:latin typeface="Times New Roman" pitchFamily="18" charset="0"/>
              <a:cs typeface="Times New Roman" pitchFamily="18" charset="0"/>
            </a:endParaRPr>
          </a:p>
        </c:rich>
      </c:tx>
      <c:layout>
        <c:manualLayout>
          <c:xMode val="edge"/>
          <c:yMode val="edge"/>
          <c:x val="0.10806932253567354"/>
          <c:y val="1.9991358574035739E-3"/>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345136031223633"/>
          <c:y val="0.20761536438593525"/>
          <c:w val="0.80443937978916946"/>
          <c:h val="0.68183531086119165"/>
        </c:manualLayout>
      </c:layout>
      <c:bar3DChart>
        <c:barDir val="col"/>
        <c:grouping val="clustered"/>
        <c:varyColors val="0"/>
        <c:ser>
          <c:idx val="0"/>
          <c:order val="0"/>
          <c:tx>
            <c:strRef>
              <c:f>Sheet1!$B$1</c:f>
              <c:strCache>
                <c:ptCount val="1"/>
                <c:pt idx="0">
                  <c:v>Meeting 1</c:v>
                </c:pt>
              </c:strCache>
            </c:strRef>
          </c:tx>
          <c:invertIfNegative val="0"/>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Eksperimen 1</c:v>
                </c:pt>
                <c:pt idx="1">
                  <c:v>Eksperimen 2</c:v>
                </c:pt>
              </c:strCache>
            </c:strRef>
          </c:cat>
          <c:val>
            <c:numRef>
              <c:f>Sheet1!$B$2:$B$5</c:f>
              <c:numCache>
                <c:formatCode>General</c:formatCode>
                <c:ptCount val="4"/>
                <c:pt idx="0">
                  <c:v>60</c:v>
                </c:pt>
                <c:pt idx="1">
                  <c:v>63</c:v>
                </c:pt>
              </c:numCache>
            </c:numRef>
          </c:val>
          <c:extLst>
            <c:ext xmlns:c16="http://schemas.microsoft.com/office/drawing/2014/chart" uri="{C3380CC4-5D6E-409C-BE32-E72D297353CC}">
              <c16:uniqueId val="{00000000-5A79-4D43-B384-A08C1A3082DC}"/>
            </c:ext>
          </c:extLst>
        </c:ser>
        <c:ser>
          <c:idx val="1"/>
          <c:order val="1"/>
          <c:tx>
            <c:strRef>
              <c:f>Sheet1!$C$1</c:f>
              <c:strCache>
                <c:ptCount val="1"/>
                <c:pt idx="0">
                  <c:v>Meeting 2</c:v>
                </c:pt>
              </c:strCache>
            </c:strRef>
          </c:tx>
          <c:spPr>
            <a:solidFill>
              <a:srgbClr val="FFFF00"/>
            </a:solidFill>
          </c:spPr>
          <c:invertIfNegative val="0"/>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Eksperimen 1</c:v>
                </c:pt>
                <c:pt idx="1">
                  <c:v>Eksperimen 2</c:v>
                </c:pt>
              </c:strCache>
            </c:strRef>
          </c:cat>
          <c:val>
            <c:numRef>
              <c:f>Sheet1!$C$2:$C$5</c:f>
              <c:numCache>
                <c:formatCode>General</c:formatCode>
                <c:ptCount val="4"/>
                <c:pt idx="0">
                  <c:v>74</c:v>
                </c:pt>
                <c:pt idx="1">
                  <c:v>70</c:v>
                </c:pt>
              </c:numCache>
            </c:numRef>
          </c:val>
          <c:extLst>
            <c:ext xmlns:c16="http://schemas.microsoft.com/office/drawing/2014/chart" uri="{C3380CC4-5D6E-409C-BE32-E72D297353CC}">
              <c16:uniqueId val="{00000001-5A79-4D43-B384-A08C1A3082DC}"/>
            </c:ext>
          </c:extLst>
        </c:ser>
        <c:ser>
          <c:idx val="2"/>
          <c:order val="2"/>
          <c:tx>
            <c:strRef>
              <c:f>Sheet1!$D$1</c:f>
              <c:strCache>
                <c:ptCount val="1"/>
                <c:pt idx="0">
                  <c:v>Meeting 3</c:v>
                </c:pt>
              </c:strCache>
            </c:strRef>
          </c:tx>
          <c:spPr>
            <a:solidFill>
              <a:srgbClr val="FF0000"/>
            </a:solidFill>
          </c:spPr>
          <c:invertIfNegative val="0"/>
          <c:dPt>
            <c:idx val="1"/>
            <c:invertIfNegative val="0"/>
            <c:bubble3D val="0"/>
            <c:spPr>
              <a:solidFill>
                <a:srgbClr val="FF0000"/>
              </a:solidFill>
              <a:ln>
                <a:noFill/>
              </a:ln>
            </c:spPr>
            <c:extLst>
              <c:ext xmlns:c16="http://schemas.microsoft.com/office/drawing/2014/chart" uri="{C3380CC4-5D6E-409C-BE32-E72D297353CC}">
                <c16:uniqueId val="{00000003-5A79-4D43-B384-A08C1A3082DC}"/>
              </c:ext>
            </c:extLst>
          </c:dPt>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Eksperimen 1</c:v>
                </c:pt>
                <c:pt idx="1">
                  <c:v>Eksperimen 2</c:v>
                </c:pt>
              </c:strCache>
            </c:strRef>
          </c:cat>
          <c:val>
            <c:numRef>
              <c:f>Sheet1!$D$2:$D$5</c:f>
              <c:numCache>
                <c:formatCode>General</c:formatCode>
                <c:ptCount val="4"/>
                <c:pt idx="0">
                  <c:v>80</c:v>
                </c:pt>
                <c:pt idx="1">
                  <c:v>73</c:v>
                </c:pt>
              </c:numCache>
            </c:numRef>
          </c:val>
          <c:extLst>
            <c:ext xmlns:c16="http://schemas.microsoft.com/office/drawing/2014/chart" uri="{C3380CC4-5D6E-409C-BE32-E72D297353CC}">
              <c16:uniqueId val="{00000004-5A79-4D43-B384-A08C1A3082DC}"/>
            </c:ext>
          </c:extLst>
        </c:ser>
        <c:dLbls>
          <c:showLegendKey val="0"/>
          <c:showVal val="0"/>
          <c:showCatName val="0"/>
          <c:showSerName val="0"/>
          <c:showPercent val="0"/>
          <c:showBubbleSize val="0"/>
        </c:dLbls>
        <c:gapWidth val="276"/>
        <c:gapDepth val="6"/>
        <c:shape val="cylinder"/>
        <c:axId val="153994752"/>
        <c:axId val="153996288"/>
        <c:axId val="0"/>
      </c:bar3DChart>
      <c:catAx>
        <c:axId val="153994752"/>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153996288"/>
        <c:crosses val="autoZero"/>
        <c:auto val="1"/>
        <c:lblAlgn val="ctr"/>
        <c:lblOffset val="100"/>
        <c:noMultiLvlLbl val="0"/>
      </c:catAx>
      <c:valAx>
        <c:axId val="153996288"/>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Score</a:t>
                </a:r>
              </a:p>
            </c:rich>
          </c:tx>
          <c:layout>
            <c:manualLayout>
              <c:xMode val="edge"/>
              <c:yMode val="edge"/>
              <c:x val="1.189653357257618E-2"/>
              <c:y val="0.46783905449932672"/>
            </c:manualLayout>
          </c:layout>
          <c:overlay val="0"/>
        </c:title>
        <c:numFmt formatCode="#,##0"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153994752"/>
        <c:crosses val="autoZero"/>
        <c:crossBetween val="between"/>
      </c:valAx>
    </c:plotArea>
    <c:legend>
      <c:legendPos val="r"/>
      <c:layout>
        <c:manualLayout>
          <c:xMode val="edge"/>
          <c:yMode val="edge"/>
          <c:x val="0.6129694868085388"/>
          <c:y val="0.52113976423299546"/>
          <c:w val="0.28780572878245814"/>
          <c:h val="0.28419613306114133"/>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7TxbB1Lb1IYle8g9+3Ctl5cCtQ==">AMUW2mU126xntlEAyQm7B2/ylrzv5kcSCY8NeLVh0vA225tOJWDPy6Dg8nxNsnbKRTXLEi8fq5Qvn+bLyi/vtaklAuNhdNmZ+mpek2Kheup/9GL9YOUbkOc=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792C98-4E35-4C55-B757-9BAECAEF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cp:lastModifiedBy>USER</cp:lastModifiedBy>
  <cp:revision>39</cp:revision>
  <dcterms:created xsi:type="dcterms:W3CDTF">2021-10-21T14:44:00Z</dcterms:created>
  <dcterms:modified xsi:type="dcterms:W3CDTF">2021-11-14T02:35:00Z</dcterms:modified>
</cp:coreProperties>
</file>